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4"/>
        <w:ind w:left="440" w:right="438"/>
        <w:keepLines w:val="0"/>
        <w:keepNext w:val="0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КОНЦЕССИОННОЕ СОГЛАШЕНИЕ </w:t>
      </w:r>
      <w:r/>
    </w:p>
    <w:p>
      <w:pPr>
        <w:ind w:firstLine="0"/>
        <w:jc w:val="center"/>
        <w:spacing w:after="0" w:line="240" w:lineRule="auto"/>
        <w:shd w:val="clear" w:color="ffffff" w:themeColor="background1" w:fill="ffffff" w:themeFill="background1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в отношении отдельных объектов теплоснабжения д. Ивановское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Шарьинского муниципального района Костромской области, предназначенных для теплоснабжения </w:t>
      </w:r>
      <w:r/>
    </w:p>
    <w:p>
      <w:pPr>
        <w:ind w:left="56" w:firstLine="0"/>
        <w:jc w:val="center"/>
        <w:spacing w:after="0" w:line="240" w:lineRule="auto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</w:r>
      <w:r/>
    </w:p>
    <w:p>
      <w:pPr>
        <w:ind w:left="0" w:firstLine="0"/>
        <w:jc w:val="left"/>
        <w:spacing w:after="0" w:line="240" w:lineRule="auto"/>
        <w:widowControl w:val="off"/>
        <w:tabs>
          <w:tab w:val="center" w:pos="2124" w:leader="none"/>
          <w:tab w:val="center" w:pos="2833" w:leader="none"/>
          <w:tab w:val="center" w:pos="4957" w:leader="none"/>
          <w:tab w:val="center" w:pos="5665" w:leader="none"/>
          <w:tab w:val="right" w:pos="9361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г. Шарья </w:t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  <w:t xml:space="preserve">«        » ________________ 20     г.</w:t>
      </w:r>
      <w:r/>
    </w:p>
    <w:p>
      <w:pPr>
        <w:ind w:left="0" w:firstLine="709"/>
        <w:spacing w:after="0" w:line="240" w:lineRule="auto"/>
        <w:shd w:val="clear" w:color="auto" w:fill="ffffff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</w:r>
      <w:r/>
    </w:p>
    <w:p>
      <w:pPr>
        <w:ind w:left="0"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b/>
          <w:color w:val="auto"/>
          <w:szCs w:val="24"/>
        </w:rPr>
        <w:t xml:space="preserve"> </w:t>
      </w:r>
      <w:r>
        <w:rPr>
          <w:rFonts w:eastAsiaTheme="minorHAnsi"/>
          <w:b/>
          <w:color w:val="auto"/>
          <w:szCs w:val="24"/>
          <w:lang w:eastAsia="en-US"/>
        </w:rPr>
        <w:t xml:space="preserve">Муниципальное образование Шарьинский муниципальный район</w:t>
      </w:r>
      <w:r>
        <w:rPr>
          <w:rFonts w:eastAsiaTheme="minorHAnsi"/>
          <w:color w:val="auto"/>
          <w:szCs w:val="24"/>
          <w:lang w:eastAsia="en-US"/>
        </w:rPr>
        <w:t xml:space="preserve">, зарегистрированное Главным управлением Министерства юстиции Российской Федерации по Центральному федеральному округу (свидетельство регистрации Устава муниципального образования от 01.12.2005 года № </w:t>
      </w:r>
      <w:r>
        <w:rPr>
          <w:rFonts w:eastAsiaTheme="minorHAnsi"/>
          <w:color w:val="auto"/>
          <w:szCs w:val="24"/>
          <w:lang w:val="en-US" w:eastAsia="en-US"/>
        </w:rPr>
        <w:t xml:space="preserve">RU</w:t>
      </w:r>
      <w:r>
        <w:rPr>
          <w:rFonts w:eastAsiaTheme="minorHAnsi"/>
          <w:color w:val="auto"/>
          <w:szCs w:val="24"/>
          <w:lang w:eastAsia="en-US"/>
        </w:rPr>
        <w:t xml:space="preserve"> 445240002005001), в лице главы  Шарьинского муниципального района, Глушакова Николая Серафимовича, действующего на основании  Устава</w:t>
      </w:r>
      <w:hyperlink r:id="rId18" w:tooltip="http://novo-sibirsk.ru/upload/industry/2007-resh-707(31-03-2015-resh-1335).pdf" w:history="1">
        <w:r>
          <w:rPr>
            <w:rFonts w:eastAsiaTheme="minorHAnsi"/>
            <w:color w:val="auto"/>
            <w:szCs w:val="24"/>
            <w:lang w:eastAsia="en-US"/>
          </w:rPr>
          <w:t xml:space="preserve">,</w:t>
        </w:r>
      </w:hyperlink>
      <w:r>
        <w:rPr>
          <w:color w:val="auto"/>
          <w:szCs w:val="24"/>
        </w:rPr>
        <w:t xml:space="preserve"> именуемый в  дальнейшем  Концедентом,  с   одной стороны, и </w:t>
      </w:r>
      <w:r>
        <w:rPr>
          <w:color w:val="auto"/>
        </w:rPr>
      </w:r>
    </w:p>
    <w:p>
      <w:pPr>
        <w:ind w:left="0"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rFonts w:eastAsiaTheme="minorHAnsi"/>
          <w:b/>
          <w:color w:val="auto"/>
          <w:szCs w:val="24"/>
          <w:lang w:eastAsia="en-US"/>
        </w:rPr>
        <w:t xml:space="preserve">Индивидуальный предприниматель Скидоненко Виктор Андреевич</w:t>
      </w:r>
      <w:r>
        <w:rPr>
          <w:rFonts w:eastAsiaTheme="minorHAnsi"/>
          <w:color w:val="auto"/>
          <w:szCs w:val="24"/>
          <w:lang w:eastAsia="en-US"/>
        </w:rPr>
        <w:t xml:space="preserve"> (свидетельство о регистрации № 44 000903329 от 04 октября 2016г. выданное Инспекцией Федеральной налоговой службы по г. Костроме),</w:t>
      </w:r>
      <w:r>
        <w:rPr>
          <w:color w:val="auto"/>
          <w:szCs w:val="24"/>
        </w:rPr>
        <w:t xml:space="preserve"> именуемый в дальнейшем Концессионером, со второй стороны,</w:t>
      </w:r>
      <w:r>
        <w:rPr>
          <w:color w:val="auto"/>
        </w:rPr>
      </w:r>
    </w:p>
    <w:p>
      <w:pPr>
        <w:ind w:left="0"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b/>
          <w:color w:val="auto"/>
          <w:szCs w:val="24"/>
        </w:rPr>
        <w:t xml:space="preserve">Субъект Российской Федерации</w:t>
      </w:r>
      <w:r>
        <w:rPr>
          <w:color w:val="auto"/>
          <w:szCs w:val="24"/>
        </w:rPr>
        <w:t xml:space="preserve"> - Костромская область, в лице заместителя губернатора Костромской области Малякина Игоря Евгеньевича, действующего на основании распоряжения губернатора Костромской области от 22.01.2021 г. № 47-р «О подписании концесс</w:t>
      </w:r>
      <w:r>
        <w:rPr>
          <w:color w:val="auto"/>
          <w:szCs w:val="24"/>
        </w:rPr>
        <w:t xml:space="preserve">ионных соглашений», именуемый в дальнейшем «Субъект РФ», с третьей стороны, вместе именуемые «Стороны», в соответствии с федеральными законами от 21.07.2005г. №115-ФЗ РФ «О концессионных соглашениях», от 26.07.2006г. №135-ФЗ «О защите конкуренции», Постано</w:t>
      </w:r>
      <w:r>
        <w:rPr>
          <w:color w:val="auto"/>
          <w:szCs w:val="24"/>
        </w:rPr>
        <w:t xml:space="preserve">влением собрания депутатов Шарьинского муниципального района Костромской области №63 от 27.09.2018г. об утверждении Положения «О порядке управления и распоряжения имуществом , находящимся в  муниципальной собственности Шарьинского муниципального района»,  </w:t>
      </w:r>
      <w:r>
        <w:rPr>
          <w:color w:val="auto"/>
        </w:rPr>
        <w:t xml:space="preserve">Протоколом подведения итогов процедуры заключения концессионного соглашения без проведения конкурса, предусмотренной ст. 37 Федерального закона № 115-ФЗ от 21 июля 2005 года «О концессионных соглашениях»</w:t>
      </w:r>
      <w:r>
        <w:rPr>
          <w:color w:val="auto"/>
          <w:szCs w:val="24"/>
        </w:rPr>
        <w:t xml:space="preserve"> от «   » ______ 20__ г. № ___ заключили настоящее концессионное соглашение (далее – «Соглашение») о нижеследующем</w:t>
      </w:r>
      <w:r>
        <w:rPr>
          <w:b/>
          <w:color w:val="auto"/>
          <w:szCs w:val="24"/>
        </w:rPr>
        <w:t xml:space="preserve">: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1.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Предмет Соглашения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1.1. Концессионер обязуется за свой счет, в порядке, в сроки и на условиях, установленных настоящим Соглашением реконструировать имущество, состав и описание которого приведены в р</w:t>
      </w:r>
      <w:r>
        <w:rPr>
          <w:color w:val="auto"/>
          <w:szCs w:val="24"/>
        </w:rPr>
        <w:t xml:space="preserve">азделе 2 настоящего Соглашения (далее – Объект Соглашения), право собственности на которое принадлежит Концеденту, и осуществлять с использованием Объекта Соглашения производство тепловой энергии в целях бесперебойного теплоснабжения населения д. Ивановско</w:t>
      </w:r>
      <w:r>
        <w:rPr>
          <w:color w:val="auto"/>
          <w:szCs w:val="24"/>
        </w:rPr>
        <w:t xml:space="preserve">е Шарьинского муниципального района Костромской области, а Концедент обязуется предоставить Концессионеру на срок, установленный настоящим Соглашением, права владения и пользования Объектом Соглашения для осуществления указанной в Соглашении деятельности.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1.2. К реконструкции Объекта Соглашения относятся мероприятия по его пе</w:t>
      </w:r>
      <w:r>
        <w:rPr>
          <w:color w:val="auto"/>
          <w:szCs w:val="24"/>
        </w:rPr>
        <w:t xml:space="preserve">реустройству на основе модернизации и замены морально устаревшего и физически изношенного оборудования новым более производительным оборудованием, иные мероприятия по улучшению характеристик и эксплуатационных свойств объекта концессионного соглашения.   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2.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Объект Соглашения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2.1. Объектом Соглашения является технологически связанное между собой недвижимое и движимое имущество, предназначенное для теплоснабжения, которое находится в собс</w:t>
      </w:r>
      <w:r>
        <w:rPr>
          <w:color w:val="auto"/>
          <w:szCs w:val="24"/>
        </w:rPr>
        <w:t xml:space="preserve">твенности муниципального образования Шарьинский муниципальный район Костромской области.  На объект недвижимого имущества зарегистрировано право собственности в установленном законом порядке; на объекты движимого имущества регистрация прав не обязательна.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В целях реализации настоящего Соглашения Концедент обязуется передать, а Концессионер обязуется принять имущество, указанное в Приложениях № 1, 2, а также права владения и пользования указанным имуществом </w:t>
      </w:r>
      <w:r>
        <w:rPr>
          <w:color w:val="auto"/>
          <w:szCs w:val="24"/>
        </w:rPr>
        <w:t xml:space="preserve">в срок, </w:t>
      </w:r>
      <w:r>
        <w:rPr>
          <w:color w:val="auto"/>
          <w:szCs w:val="24"/>
        </w:rPr>
        <w:t xml:space="preserve">установленный в п. 10.3 настоящего Соглашения.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Описание недвижимого и движимого имущества, которое находится в собственности Концедента на дату заключения настоящего Соглашения, приведено в Приложениях № 1, 2.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На момент заключения настоящего Соглашения имущество, указанное в Приложениях           № 1, 2, является собственностью муниципального образования Шарьинский муниципальный район Костромской области.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Перечень реконструируемого в течение срока действия настояще</w:t>
      </w:r>
      <w:r>
        <w:rPr>
          <w:color w:val="auto"/>
          <w:szCs w:val="24"/>
        </w:rPr>
        <w:t xml:space="preserve">го Соглашения  имущества, его описание, в том числе технико-экономические показатели, объем и источники инвестиций, привлекаемых для реконструкции этого имущества, устанавливаются в соответствии с инвестиционными программами концессионера, утвержденными в </w:t>
      </w:r>
      <w:hyperlink r:id="rId19" w:tooltip="http://www.consultant.ru/document/cons_doc_LAW_51037/6302a2a94dc7870a5f65631b4f4ecdb75910f4b8/#dst148" w:anchor="dst148" w:history="1">
        <w:r>
          <w:rPr>
            <w:color w:val="auto"/>
            <w:szCs w:val="24"/>
          </w:rPr>
          <w:t xml:space="preserve">порядке</w:t>
        </w:r>
      </w:hyperlink>
      <w:r>
        <w:rPr>
          <w:color w:val="auto"/>
        </w:rPr>
      </w:r>
      <w:hyperlink r:id="rId20" w:tooltip="http://www.consultant.ru/document/cons_doc_LAW_51037/6302a2a94dc7870a5f65631b4f4ecdb75910f4b8/#dst148" w:anchor="dst148" w:history="1">
        <w:r>
          <w:rPr>
            <w:color w:val="auto"/>
            <w:szCs w:val="24"/>
          </w:rPr>
          <w:t xml:space="preserve">,</w:t>
        </w:r>
      </w:hyperlink>
      <w:r>
        <w:rPr>
          <w:color w:val="auto"/>
          <w:szCs w:val="24"/>
        </w:rPr>
        <w:t xml:space="preserve"> установленном законодательством Российской Федерации в сфере регулирования цен (тарифов), и указывается в Приложении № 3 к настоящему Соглашению.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2.2. Описание объектов теплоснабжения, указанных в п. 2.1 настоящего Соглашения, в том числе технико-экономические показатели, техническое состояние, приведены в Приложении № 4 к настоящему Соглашению.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3. Порядок передачи Концедентом Концессионеру имущества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3.1. </w:t>
      </w:r>
      <w:r>
        <w:rPr>
          <w:color w:val="auto"/>
          <w:szCs w:val="24"/>
        </w:rPr>
        <w:t xml:space="preserve">Концедент обязуется передать Концессионеру, а Концессионер обязуется принять имущество, указанное в разделе 2 настоящего Соглашения, а также права владения и пользования указанным имуществом в срок, установленный в п. 10.3 настоящего Соглашения.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Фактическая передача Концедентом Концессионеру объектов, указанных в разделе 2 настоящего Соглашения, осуществляется по акту приема-передачи (по форме Приложения № 9 к настоящему Соглашению), подписываемому Сторонами.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Акт приема-передачи имущества (при</w:t>
      </w:r>
      <w:r>
        <w:rPr>
          <w:color w:val="auto"/>
          <w:szCs w:val="24"/>
        </w:rPr>
        <w:t xml:space="preserve">ложение к акту приема-передачи имущества) должен содержать информацию в соответствии с формой акта приема-передачи имущества и приложения к нему (Приложение № 9 к настоящему Соглашению). Все учетные данные должны быть указаны на дату передачи имущества.  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При необходимости иные учетные данные могут быть запрошены у Концедента дополнительно.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Акт приема-передачи оформляется Концедентом не позднее даты начала использования имущества, предусмотренной п. 10.5 настоящего Соглашения.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Концедент несет ответственность за достоверность информации, указанной в Акте приема-передачи имущества.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Обязанность Концедента по передаче имущества считается исполненной после принятия имущества Концессионером и подписания Сторонами акта приема-передачи.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Концедент передает Концессионеру документы, относящиеся к передаваемому Объекту Соглашения, необходимые для исполнения настоящего Соглашения, одновременно с передачей соответствующего об</w:t>
      </w:r>
      <w:r>
        <w:rPr>
          <w:color w:val="auto"/>
          <w:szCs w:val="24"/>
        </w:rPr>
        <w:t xml:space="preserve">ъекта, а именно: проектную, рабочую, исполнительную документацию, заводские паспорта и инструкции на оборудование, кадастровые и технические паспорта на здания и сооружения, гарантийные талоны на оборудование, находящееся на гарантии производителей и т.д.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Обязанность Концедента по передаче Концессионеру прав владения и пользования объектами недвижимого и движимого имущества, входящими в состав Объекта Соглашения считается исполненной с даты подписания акта приема-передачи. Стороны обязуются осуществить д</w:t>
      </w:r>
      <w:r>
        <w:rPr>
          <w:color w:val="auto"/>
          <w:szCs w:val="24"/>
        </w:rPr>
        <w:t xml:space="preserve">ействия, необходимые для государственной регистрации прав владения и пользования Концессионера объектами недвижимого имущества, относящимися к Объекту Соглашения, в течение 10 (десяти) рабочих дней с момента подписания соответствующего акта приема-передачи</w:t>
      </w:r>
      <w:r>
        <w:rPr>
          <w:i/>
          <w:color w:val="auto"/>
          <w:szCs w:val="24"/>
        </w:rPr>
        <w:t xml:space="preserve">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3.2. Государственная регистрация указанных в п. 3.1 настоящего Соглашения прав владения и пользования объектами недвижимого имущества осуществляется за счет Концессионера и Концедента в равных долях.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3.3. Концессионер обязуется приступить к использованию (эксплуатации) Объекта Соглашения в срок, указанный в пункте 10.5 настоящего Соглашения. </w:t>
      </w:r>
      <w:r>
        <w:rPr>
          <w:color w:val="auto"/>
        </w:rPr>
      </w:r>
    </w:p>
    <w:p>
      <w:pPr>
        <w:ind w:left="0" w:firstLine="709"/>
        <w:spacing w:after="0" w:line="240" w:lineRule="auto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 xml:space="preserve">3.4. Концессионер обязуется</w:t>
      </w:r>
      <w:r>
        <w:rPr>
          <w:rFonts w:eastAsiaTheme="minorEastAsia"/>
          <w:color w:val="auto"/>
        </w:rPr>
        <w:t xml:space="preserve"> обеспечить государственную регистрацию права собственности Концедента</w:t>
      </w:r>
      <w:r>
        <w:rPr>
          <w:rFonts w:eastAsiaTheme="minorEastAsia"/>
          <w:color w:val="auto"/>
        </w:rPr>
        <w:t xml:space="preserve"> в отношении всего незарегистрированного недвижимого имущества</w:t>
      </w:r>
      <w:r>
        <w:rPr>
          <w:rFonts w:eastAsiaTheme="minorEastAsia"/>
          <w:color w:val="auto"/>
        </w:rPr>
        <w:t xml:space="preserve">,</w:t>
      </w:r>
      <w:r>
        <w:rPr>
          <w:rFonts w:eastAsiaTheme="minorEastAsia"/>
          <w:color w:val="auto"/>
        </w:rPr>
        <w:t xml:space="preserve"> в </w:t>
      </w:r>
      <w:r>
        <w:rPr>
          <w:rFonts w:eastAsiaTheme="minorEastAsia"/>
          <w:color w:val="auto"/>
        </w:rPr>
        <w:t xml:space="preserve">том числе </w:t>
      </w:r>
      <w:r>
        <w:rPr>
          <w:rFonts w:eastAsiaTheme="minorEastAsia"/>
          <w:color w:val="auto"/>
        </w:rPr>
        <w:t xml:space="preserve">выполнение</w:t>
      </w:r>
      <w:r>
        <w:rPr>
          <w:rFonts w:eastAsiaTheme="minorEastAsia"/>
          <w:color w:val="auto"/>
        </w:rPr>
        <w:t xml:space="preserve"> кадастровых работ и осуществлени</w:t>
      </w:r>
      <w:r>
        <w:rPr>
          <w:rFonts w:eastAsiaTheme="minorEastAsia"/>
          <w:color w:val="auto"/>
        </w:rPr>
        <w:t xml:space="preserve">е</w:t>
      </w:r>
      <w:r>
        <w:rPr>
          <w:rFonts w:eastAsiaTheme="minorEastAsia"/>
          <w:color w:val="auto"/>
        </w:rPr>
        <w:t xml:space="preserve"> государственной регистр</w:t>
      </w:r>
      <w:r>
        <w:rPr>
          <w:rFonts w:eastAsiaTheme="minorEastAsia"/>
          <w:color w:val="auto"/>
        </w:rPr>
        <w:t xml:space="preserve">ации права собственности К</w:t>
      </w:r>
      <w:r>
        <w:rPr>
          <w:rFonts w:eastAsiaTheme="minorEastAsia"/>
          <w:color w:val="auto"/>
        </w:rPr>
        <w:t xml:space="preserve">онцедента на имущество, а также государственн</w:t>
      </w:r>
      <w:r>
        <w:rPr>
          <w:rFonts w:eastAsiaTheme="minorEastAsia"/>
          <w:color w:val="auto"/>
        </w:rPr>
        <w:t xml:space="preserve">ую регистрацию</w:t>
      </w:r>
      <w:r>
        <w:rPr>
          <w:rFonts w:eastAsiaTheme="minorEastAsia"/>
          <w:color w:val="auto"/>
        </w:rPr>
        <w:t xml:space="preserve"> обременения данного права в соответствии с </w:t>
      </w:r>
      <w:hyperlink w:tooltip="#sub_315" w:anchor="sub_315" w:history="1">
        <w:r>
          <w:rPr>
            <w:rStyle w:val="943"/>
            <w:rFonts w:eastAsiaTheme="minorEastAsia"/>
            <w:color w:val="auto"/>
            <w:u w:val="none"/>
          </w:rPr>
          <w:t xml:space="preserve">частью 15 статьи 3</w:t>
        </w:r>
      </w:hyperlink>
      <w:r>
        <w:rPr>
          <w:rFonts w:eastAsiaTheme="minorEastAsia"/>
          <w:color w:val="auto"/>
        </w:rPr>
        <w:t xml:space="preserve"> Федерального закона</w:t>
      </w:r>
      <w:r>
        <w:rPr>
          <w:color w:val="auto"/>
        </w:rPr>
        <w:t xml:space="preserve"> от 21 июля 2005 г. </w:t>
      </w:r>
      <w:r>
        <w:rPr>
          <w:color w:val="auto"/>
        </w:rPr>
        <w:t xml:space="preserve">№</w:t>
      </w:r>
      <w:r>
        <w:rPr>
          <w:color w:val="auto"/>
        </w:rPr>
        <w:t xml:space="preserve">115-ФЗ</w:t>
      </w:r>
      <w:r>
        <w:rPr>
          <w:color w:val="auto"/>
        </w:rPr>
        <w:t xml:space="preserve"> «О концессионных соглашениях»</w:t>
      </w:r>
      <w:r>
        <w:rPr>
          <w:rFonts w:eastAsiaTheme="minorEastAsia"/>
          <w:color w:val="auto"/>
        </w:rPr>
        <w:t xml:space="preserve"> </w:t>
      </w:r>
      <w:r>
        <w:rPr>
          <w:rFonts w:eastAsiaTheme="minorEastAsia"/>
          <w:color w:val="auto"/>
        </w:rPr>
        <w:t xml:space="preserve">в срок, равный одному году с даты вступления в силу </w:t>
      </w:r>
      <w:r>
        <w:rPr>
          <w:rFonts w:eastAsiaTheme="minorEastAsia"/>
          <w:color w:val="auto"/>
        </w:rPr>
        <w:t xml:space="preserve">настоящего </w:t>
      </w:r>
      <w:r>
        <w:rPr>
          <w:rFonts w:eastAsiaTheme="minorEastAsia"/>
          <w:color w:val="auto"/>
        </w:rPr>
        <w:t xml:space="preserve">концессионного соглашения;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 </w:t>
      </w:r>
      <w:r>
        <w:rPr>
          <w:color w:val="auto"/>
          <w:szCs w:val="24"/>
        </w:rPr>
        <w:t xml:space="preserve">Р</w:t>
      </w:r>
      <w:r>
        <w:rPr>
          <w:color w:val="auto"/>
          <w:szCs w:val="24"/>
        </w:rPr>
        <w:t xml:space="preserve">еконструкция Объекта Соглашения 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4.1. Концессионер</w:t>
      </w:r>
      <w:r>
        <w:rPr>
          <w:color w:val="auto"/>
          <w:szCs w:val="24"/>
        </w:rPr>
        <w:t xml:space="preserve"> обязан за свой счет реконструировать Объект Соглашения (имущество, входящее в состав Объекта Соглашения) в соответствии с Заданием и основными мероприятиями по реконструкции имущества в составе Объекта Соглашения (Приложение № 6 к настоящему Соглашению).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4.2. Проектная документация для реконструкции Объекта Соглашения (имущества, входящего в состав Объекта Соглашения) не требуется.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4.3. Перечень мероприятий по р</w:t>
      </w:r>
      <w:r>
        <w:rPr>
          <w:color w:val="auto"/>
          <w:szCs w:val="24"/>
        </w:rPr>
        <w:t xml:space="preserve">еконструкции в отношении Объекта Соглашения устанавливается в соответствии с Заданием, утверждаемыми в порядке, установленном законодательством Российской Федерации в сфере регулирования цен (тарифов), и содержится Приложением № 6 к настоящему Соглашению.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4.4. Концедент обязуется обеспечить Концессионеру необходимые условия для выполнения работ </w:t>
      </w:r>
      <w:r>
        <w:rPr>
          <w:color w:val="auto"/>
          <w:szCs w:val="24"/>
        </w:rPr>
        <w:t xml:space="preserve">по </w:t>
      </w:r>
      <w:r>
        <w:rPr>
          <w:color w:val="auto"/>
          <w:szCs w:val="24"/>
        </w:rPr>
        <w:t xml:space="preserve">реконструкции Объекта Соглашения (объектов теплоснабжения, в состав которых входит недвижимое и движимое имущество)</w:t>
      </w:r>
      <w:r>
        <w:rPr>
          <w:i/>
          <w:color w:val="auto"/>
          <w:szCs w:val="24"/>
        </w:rPr>
        <w:t xml:space="preserve">, </w:t>
      </w:r>
      <w:r>
        <w:rPr>
          <w:color w:val="auto"/>
          <w:szCs w:val="24"/>
        </w:rPr>
        <w:t xml:space="preserve">в том числе принять необходимые меры по обеспечению свободного доступа Концессионера и уполномоченных им лиц к Объекту Соглашения.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4.5. Концедент обязуется оказывать Концессионеру необходимое содействие при выполнении работ по реконструкции Объекта Соглашения (объектов теплоснабжения, в состав которых входит недвижимое и движимое имущество).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4.6. Концессионер обязан за свой счет обеспечить подготовку территории, необходимой для реконструкции объекта Соглашения, для осуществления деятельности, предусмотренной настоящим Соглашением, в соответствии с действующим законодательством.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4.7. Выполнение мероприятий по реконструкции Объекта Соглашения, производятся в соответствии с требованиями технических регламентов и иных нормативных правовых актов Российской Федерации</w:t>
      </w:r>
      <w:r>
        <w:rPr>
          <w:color w:val="auto"/>
          <w:szCs w:val="24"/>
        </w:rPr>
        <w:t xml:space="preserve">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4.8. При обнаружении Концессионером не зависящих от Сторон обстоятельств, делающих невозможным реконструкцию и/или ввод в эксплуатацию Объекта Соглашения (объектов в составе Объекта Соглашения) в сроки, установ</w:t>
      </w:r>
      <w:r>
        <w:rPr>
          <w:color w:val="auto"/>
          <w:szCs w:val="24"/>
        </w:rPr>
        <w:t xml:space="preserve">ленные настоящим Соглашением, и (или) использование (эксплуатацию) Объекта Соглашения,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4.9. Концессионер обязан о</w:t>
      </w:r>
      <w:r>
        <w:rPr>
          <w:color w:val="auto"/>
          <w:szCs w:val="24"/>
        </w:rPr>
        <w:t xml:space="preserve">беспечить ввод в эксплуатацию Объекта Соглашения (объектов, подлежащих реконструкции, входящих в состав Объекта Соглашения), в порядке, установленном законодательством Российской Федерации, в сроки, предусмотренные Приложением № 6 к настоящему Соглашению.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highlight w:val="white"/>
        </w:rPr>
      </w:pPr>
      <w:r>
        <w:rPr>
          <w:color w:val="auto"/>
          <w:szCs w:val="24"/>
          <w:highlight w:val="white"/>
        </w:rPr>
        <w:t xml:space="preserve">4.10. Предельный размер расходов на реконструкцию Объекта Соглашения, осуществляемых в течение всего срока действия Соглашения, равен 787 000 (Семьсот восемьдесят семь тысяч) рублей 00 копеек и финансируется за счет: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</w:rPr>
      </w:pPr>
      <w:r>
        <w:rPr>
          <w:color w:val="auto"/>
          <w:szCs w:val="24"/>
        </w:rPr>
        <w:t xml:space="preserve">-платы Концедента, предельный размер которой в течение всего срока действия Соглашения составляет 393 000 (триста девяносто три тысячи) рублей;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highlight w:val="white"/>
        </w:rPr>
      </w:pPr>
      <w:r>
        <w:rPr>
          <w:color w:val="auto"/>
          <w:szCs w:val="24"/>
        </w:rPr>
        <w:t xml:space="preserve">-собственных средств Концессионера, размер которых составляет  394 000 (триста девяносто четыре тысячи) рублей.</w:t>
      </w:r>
      <w:r>
        <w:rPr>
          <w:color w:val="auto"/>
        </w:rPr>
      </w:r>
    </w:p>
    <w:p>
      <w:pPr>
        <w:widowControl w:val="off"/>
        <w:rPr>
          <w:color w:val="auto"/>
        </w:rPr>
      </w:pPr>
      <w:r>
        <w:rPr>
          <w:color w:val="auto"/>
        </w:rPr>
        <w:t xml:space="preserve">Предельный размер расходов на реконструкцию объекта концессионного соглашения на каждый год срока действия концессионного соглашения для Концессионера установлен в размере:</w:t>
      </w:r>
      <w:r>
        <w:rPr>
          <w:color w:val="auto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545"/>
        <w:gridCol w:w="1154"/>
        <w:gridCol w:w="1152"/>
        <w:gridCol w:w="1153"/>
        <w:gridCol w:w="1153"/>
        <w:gridCol w:w="1151"/>
      </w:tblGrid>
      <w:tr>
        <w:trPr>
          <w:trHeight w:val="211"/>
        </w:trPr>
        <w:tc>
          <w:tcPr>
            <w:tcW w:w="1770" w:type="pct"/>
            <w:vAlign w:val="center"/>
            <w:textDirection w:val="lrTb"/>
            <w:noWrap/>
          </w:tcPr>
          <w:p>
            <w:pPr>
              <w:pStyle w:val="754"/>
              <w:ind w:left="0" w:hanging="6"/>
              <w:keepLines w:val="0"/>
              <w:keepNext w:val="0"/>
              <w:spacing w:after="0"/>
              <w:widowControl w:val="off"/>
              <w:rPr>
                <w:b w:val="0"/>
                <w:color w:val="auto"/>
                <w:szCs w:val="24"/>
              </w:rPr>
            </w:pPr>
            <w:r>
              <w:rPr>
                <w:b w:val="0"/>
                <w:color w:val="auto"/>
                <w:szCs w:val="24"/>
              </w:rPr>
            </w:r>
            <w:r>
              <w:rPr>
                <w:color w:val="auto"/>
              </w:rPr>
            </w:r>
          </w:p>
        </w:tc>
        <w:tc>
          <w:tcPr>
            <w:tcW w:w="647" w:type="pct"/>
            <w:textDirection w:val="lrTb"/>
            <w:noWrap/>
          </w:tcPr>
          <w:p>
            <w:pPr>
              <w:pStyle w:val="754"/>
              <w:keepLines w:val="0"/>
              <w:keepNext w:val="0"/>
              <w:spacing w:after="0"/>
              <w:widowControl w:val="off"/>
              <w:rPr>
                <w:b w:val="0"/>
                <w:color w:val="auto"/>
                <w:szCs w:val="24"/>
              </w:rPr>
            </w:pPr>
            <w:r>
              <w:rPr>
                <w:b w:val="0"/>
                <w:color w:val="auto"/>
                <w:szCs w:val="24"/>
              </w:rPr>
              <w:t xml:space="preserve">2024г.</w:t>
            </w:r>
            <w:r>
              <w:rPr>
                <w:color w:val="auto"/>
              </w:rPr>
            </w:r>
          </w:p>
        </w:tc>
        <w:tc>
          <w:tcPr>
            <w:tcW w:w="646" w:type="pct"/>
            <w:textDirection w:val="lrTb"/>
            <w:noWrap/>
          </w:tcPr>
          <w:p>
            <w:pPr>
              <w:pStyle w:val="754"/>
              <w:keepLines w:val="0"/>
              <w:keepNext w:val="0"/>
              <w:spacing w:after="0"/>
              <w:widowControl w:val="off"/>
              <w:rPr>
                <w:b w:val="0"/>
                <w:color w:val="auto"/>
                <w:szCs w:val="24"/>
              </w:rPr>
            </w:pPr>
            <w:r>
              <w:rPr>
                <w:b w:val="0"/>
                <w:color w:val="auto"/>
                <w:szCs w:val="24"/>
              </w:rPr>
              <w:t xml:space="preserve">2025г.</w:t>
            </w:r>
            <w:r>
              <w:rPr>
                <w:color w:val="auto"/>
              </w:rPr>
            </w:r>
          </w:p>
        </w:tc>
        <w:tc>
          <w:tcPr>
            <w:tcW w:w="646" w:type="pct"/>
            <w:textDirection w:val="lrTb"/>
            <w:noWrap/>
          </w:tcPr>
          <w:p>
            <w:pPr>
              <w:pStyle w:val="754"/>
              <w:keepLines w:val="0"/>
              <w:keepNext w:val="0"/>
              <w:spacing w:after="0"/>
              <w:widowControl w:val="off"/>
              <w:rPr>
                <w:b w:val="0"/>
                <w:color w:val="auto"/>
                <w:szCs w:val="24"/>
              </w:rPr>
            </w:pPr>
            <w:r>
              <w:rPr>
                <w:b w:val="0"/>
                <w:color w:val="auto"/>
                <w:szCs w:val="24"/>
              </w:rPr>
              <w:t xml:space="preserve">2026г.</w:t>
            </w:r>
            <w:r>
              <w:rPr>
                <w:color w:val="auto"/>
              </w:rPr>
            </w:r>
          </w:p>
        </w:tc>
        <w:tc>
          <w:tcPr>
            <w:tcW w:w="646" w:type="pct"/>
            <w:textDirection w:val="lrTb"/>
            <w:noWrap/>
          </w:tcPr>
          <w:p>
            <w:pPr>
              <w:pStyle w:val="754"/>
              <w:keepLines w:val="0"/>
              <w:keepNext w:val="0"/>
              <w:spacing w:after="0"/>
              <w:widowControl w:val="off"/>
              <w:rPr>
                <w:b w:val="0"/>
                <w:color w:val="auto"/>
                <w:szCs w:val="24"/>
              </w:rPr>
            </w:pPr>
            <w:r>
              <w:rPr>
                <w:b w:val="0"/>
                <w:color w:val="auto"/>
                <w:szCs w:val="24"/>
              </w:rPr>
              <w:t xml:space="preserve">2027г.</w:t>
            </w:r>
            <w:r>
              <w:rPr>
                <w:color w:val="auto"/>
              </w:rPr>
            </w:r>
          </w:p>
        </w:tc>
        <w:tc>
          <w:tcPr>
            <w:tcW w:w="645" w:type="pct"/>
            <w:textDirection w:val="lrTb"/>
            <w:noWrap/>
          </w:tcPr>
          <w:p>
            <w:pPr>
              <w:pStyle w:val="754"/>
              <w:keepLines w:val="0"/>
              <w:keepNext w:val="0"/>
              <w:spacing w:after="0"/>
              <w:widowControl w:val="off"/>
              <w:rPr>
                <w:b w:val="0"/>
                <w:color w:val="auto"/>
                <w:szCs w:val="24"/>
              </w:rPr>
            </w:pPr>
            <w:r>
              <w:rPr>
                <w:b w:val="0"/>
                <w:color w:val="auto"/>
                <w:szCs w:val="24"/>
              </w:rPr>
              <w:t xml:space="preserve">2028г.</w:t>
            </w:r>
            <w:r>
              <w:rPr>
                <w:color w:val="auto"/>
              </w:rPr>
            </w:r>
          </w:p>
        </w:tc>
      </w:tr>
      <w:tr>
        <w:trPr>
          <w:trHeight w:val="425"/>
        </w:trPr>
        <w:tc>
          <w:tcPr>
            <w:tcW w:w="1770" w:type="pct"/>
            <w:vAlign w:val="center"/>
            <w:textDirection w:val="lrTb"/>
            <w:noWrap/>
          </w:tcPr>
          <w:p>
            <w:pPr>
              <w:pStyle w:val="754"/>
              <w:ind w:left="0" w:hanging="6"/>
              <w:keepLines w:val="0"/>
              <w:keepNext w:val="0"/>
              <w:spacing w:after="0"/>
              <w:widowControl w:val="off"/>
              <w:rPr>
                <w:b w:val="0"/>
                <w:color w:val="auto"/>
                <w:szCs w:val="24"/>
              </w:rPr>
            </w:pPr>
            <w:r>
              <w:rPr>
                <w:b w:val="0"/>
                <w:color w:val="auto"/>
                <w:szCs w:val="24"/>
              </w:rPr>
              <w:t xml:space="preserve">Объем расходов Концессионера, тыс. руб. </w:t>
            </w:r>
            <w:r>
              <w:rPr>
                <w:color w:val="auto"/>
              </w:rPr>
            </w:r>
          </w:p>
          <w:p>
            <w:pPr>
              <w:pStyle w:val="754"/>
              <w:ind w:left="0" w:hanging="6"/>
              <w:keepLines w:val="0"/>
              <w:keepNext w:val="0"/>
              <w:spacing w:after="0"/>
              <w:widowControl w:val="off"/>
              <w:rPr>
                <w:b w:val="0"/>
                <w:color w:val="auto"/>
                <w:szCs w:val="24"/>
              </w:rPr>
            </w:pPr>
            <w:r>
              <w:rPr>
                <w:b w:val="0"/>
                <w:color w:val="auto"/>
                <w:szCs w:val="24"/>
              </w:rPr>
              <w:t xml:space="preserve">без НДС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47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3,00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4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70,00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4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149,00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4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149,00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645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23,00</w:t>
            </w:r>
            <w:r>
              <w:rPr>
                <w:color w:val="auto"/>
              </w:rPr>
            </w:r>
          </w:p>
        </w:tc>
      </w:tr>
    </w:tbl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4.11. Завершение Концессионером предусмотренных настоящим Соглашением работ по реконструкции Объекта Соглашения (объ</w:t>
      </w:r>
      <w:r>
        <w:rPr>
          <w:color w:val="auto"/>
          <w:szCs w:val="24"/>
        </w:rPr>
        <w:t xml:space="preserve">ектов теплоснабжения, входящих в состав Объекта Соглашения) оформляется подписываемым Сторонами документом об исполнении Концессионером своих обязательств по реконструкции Объекта Соглашения (объектов теплоснабжения, входящих в состав Объекта Соглашения).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5. Порядок предоставления Концессионеру земельных участков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5.1. Концедент обязуется </w:t>
      </w:r>
      <w:r>
        <w:rPr>
          <w:color w:val="auto"/>
          <w:szCs w:val="24"/>
        </w:rPr>
        <w:t xml:space="preserve">предоставить Концессионеру земельный участок, на котором располагается Объект Соглашения (имущество, входящее в состав Объекта Соглашения) и который необходим для осуществления Концессионером деятельности, предусмотренной настоящим Соглашением, в аренду. 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Срок действия договора аренды земельного участка не может превышать срок действия настоящего Соглашения. Прекращение настоящего Соглашения является основанием для прекращения договора аренды земельного участка.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Перечень и описание земельных участков, поставленных на государственный кадастровый учет, предназначенных для осуществления деятельности, предусмотренной настоящим Соглашением, приведен в Приложении № 7 настоящего Соглашения.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5.2. Если не осуществлен государственный кадастровый учет земельного участка, на котором располагается имущество, входящее в состав Объекта Соглашения и который необходим для осуществления Концессионером деятельности, предусмотренной настоя</w:t>
      </w:r>
      <w:r>
        <w:rPr>
          <w:color w:val="auto"/>
          <w:szCs w:val="24"/>
        </w:rPr>
        <w:t xml:space="preserve">щим Соглашением, Концессионер обязан за свой счет обеспечить выполнение в отношении земельного участка кадастровых работ и обратиться с заявлением об осуществлении государственного кадастрового учета земельного участка в порядке, установленном Федеральным </w:t>
      </w:r>
      <w:hyperlink r:id="rId21" w:tooltip="consultantplus://offline/main?base=LAW;n=109002;fld=134;dst=100149" w:history="1">
        <w:r>
          <w:rPr>
            <w:rFonts w:eastAsia="Calibri"/>
            <w:color w:val="auto"/>
            <w:szCs w:val="24"/>
          </w:rPr>
          <w:t xml:space="preserve">законом</w:t>
        </w:r>
      </w:hyperlink>
      <w:r>
        <w:rPr>
          <w:rFonts w:eastAsia="Calibri"/>
          <w:color w:val="auto"/>
          <w:szCs w:val="24"/>
        </w:rPr>
        <w:t xml:space="preserve"> от </w:t>
      </w:r>
      <w:r>
        <w:rPr>
          <w:color w:val="auto"/>
          <w:szCs w:val="24"/>
        </w:rPr>
        <w:t xml:space="preserve">13.07.2015             №</w:t>
      </w:r>
      <w:r>
        <w:rPr>
          <w:rFonts w:eastAsia="Calibri"/>
          <w:color w:val="auto"/>
          <w:szCs w:val="24"/>
        </w:rPr>
        <w:t xml:space="preserve"> 218</w:t>
      </w:r>
      <w:r>
        <w:rPr>
          <w:color w:val="auto"/>
          <w:szCs w:val="24"/>
        </w:rPr>
        <w:t xml:space="preserve">-</w:t>
      </w:r>
      <w:r>
        <w:rPr>
          <w:rFonts w:eastAsia="Calibri"/>
          <w:color w:val="auto"/>
          <w:szCs w:val="24"/>
        </w:rPr>
        <w:t xml:space="preserve">ФЗ</w:t>
      </w:r>
      <w:r>
        <w:rPr>
          <w:color w:val="auto"/>
          <w:szCs w:val="24"/>
        </w:rPr>
        <w:t xml:space="preserve"> «О государственной регистрации недвижимости».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5.3. Договор аренды земельного участка</w:t>
      </w:r>
      <w:r>
        <w:rPr>
          <w:color w:val="auto"/>
          <w:szCs w:val="24"/>
        </w:rPr>
        <w:t xml:space="preserve"> заключается с Концессионером не позднее чем через 30 дней со дня обращения последнего с заявлением о заключении договора аренды земельного участка, поставленного на государственный кадастровый учет, в порядке, установленном действующим законодательством.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5.3.1. Годовой размер арендной платы рассчитывается согласно Заключению об оценке рыночной стоимости земельного участка (определяется в соответствии с постановлением администрации Костромской области от 07.07.2015 N 251-а </w:t>
      </w:r>
      <w:r>
        <w:rPr>
          <w:color w:val="auto"/>
          <w:szCs w:val="24"/>
        </w:rPr>
        <w:t xml:space="preserve">«Об утверждении порядка определения размера арендной платы за земельные участки, находящиеся в собственности Ко</w:t>
      </w:r>
      <w:r>
        <w:rPr>
          <w:color w:val="auto"/>
          <w:szCs w:val="24"/>
        </w:rPr>
        <w:t xml:space="preserve">стромской области, и земельные участки, государственная собственность на которые не разграничена, и предоставленные в аренду без торгов, а также условий и сроков внесения арендной платы за земельные участки, находящиеся в собственности Костромской области»</w:t>
      </w:r>
      <w:r>
        <w:rPr>
          <w:color w:val="auto"/>
          <w:szCs w:val="24"/>
        </w:rPr>
        <w:t xml:space="preserve">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5.3.2. Концедент вправе изменить размер арендной платы в бесспорном и одностороннем порядке: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</w:rPr>
        <w:t xml:space="preserve">ежегодно, но не ранее чем через год после заключения договора аренды земельного участка, на размер уровня инфляции, установленно</w:t>
      </w:r>
      <w:r>
        <w:rPr>
          <w:color w:val="auto"/>
          <w:szCs w:val="24"/>
        </w:rPr>
        <w:t xml:space="preserve">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</w:rPr>
        <w:t xml:space="preserve">в соответствии с нормативными правовы</w:t>
      </w:r>
      <w:r>
        <w:rPr>
          <w:color w:val="auto"/>
          <w:szCs w:val="24"/>
        </w:rPr>
        <w:t xml:space="preserve">ми актами Российской Федерации, Костромской области, муниципальными правовыми актами Шарьинского муниципального района. Внесение арендной платы в ином размере начинается со дня, с которого в соответствии с правовым актом предусматривается такое изменение.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Указанные изменения доводятся Концедентом</w:t>
      </w:r>
      <w:r>
        <w:rPr>
          <w:color w:val="auto"/>
          <w:szCs w:val="24"/>
        </w:rPr>
        <w:t xml:space="preserve"> письменно заказным письмом по адресу, указанному в юридических реквизитах договора аренды земельного участка, или вручаются под роспись, без оформления этих изменений дополнительным соглашением и являются приложением к договору аренды земельного участка. </w:t>
      </w:r>
      <w:r>
        <w:rPr>
          <w:color w:val="auto"/>
        </w:rPr>
      </w:r>
    </w:p>
    <w:p>
      <w:pPr>
        <w:numPr>
          <w:ilvl w:val="1"/>
          <w:numId w:val="2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5.4. </w:t>
      </w:r>
      <w:r>
        <w:rPr>
          <w:color w:val="auto"/>
          <w:szCs w:val="24"/>
        </w:rPr>
        <w:t xml:space="preserve">Договор аренды земельного участка подлежит государственной регистрации в </w:t>
      </w:r>
      <w:r>
        <w:rPr>
          <w:color w:val="auto"/>
          <w:szCs w:val="24"/>
        </w:rPr>
        <w:t xml:space="preserve">установленном законодательством Российской Федерации порядке и вступает в силу с мо</w:t>
      </w:r>
      <w:r>
        <w:rPr>
          <w:color w:val="auto"/>
          <w:szCs w:val="24"/>
        </w:rPr>
        <w:t xml:space="preserve">мента этой регистрации. Государственную регистрацию договора аренды земельного участка обязан осуществить за свой счет Концессионер, при оказании содействия Концедентом, в течение 5 (пяти) рабочих дней с даты подписания договора аренды земельного участка. </w:t>
      </w:r>
      <w:r>
        <w:rPr>
          <w:color w:val="auto"/>
        </w:rPr>
      </w:r>
    </w:p>
    <w:p>
      <w:pPr>
        <w:numPr>
          <w:ilvl w:val="1"/>
          <w:numId w:val="2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5.5. </w:t>
      </w:r>
      <w:r>
        <w:rPr>
          <w:color w:val="auto"/>
          <w:szCs w:val="24"/>
        </w:rPr>
        <w:t xml:space="preserve">Концессионер не вправе передавать свои права по договору аренды земельного участка другим лицам и сдавать земельный участок в субаренду. </w:t>
      </w:r>
      <w:r>
        <w:rPr>
          <w:color w:val="auto"/>
        </w:rPr>
      </w:r>
    </w:p>
    <w:p>
      <w:pPr>
        <w:numPr>
          <w:ilvl w:val="1"/>
          <w:numId w:val="2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5.6. </w:t>
      </w:r>
      <w:r>
        <w:rPr>
          <w:color w:val="auto"/>
          <w:szCs w:val="24"/>
        </w:rPr>
        <w:t xml:space="preserve">Концесси</w:t>
      </w:r>
      <w:r>
        <w:rPr>
          <w:color w:val="auto"/>
          <w:szCs w:val="24"/>
        </w:rPr>
        <w:t xml:space="preserve">онер не вправе возводить на земельных участках, на которых располагается объект Соглашения и который предназначен для осуществления деятельности предусмотренной настоящим Соглашением, объекты недвижимого имущества, не входящие в состав объекта Соглашения.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6. Владение, пользование и распоряжение имуществом, предоставляемым Концессионеру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6.1. Концессионер обязан использовать (эксплуатировать) имущество, входящее в состав Объекта Соглашения в установленном настоящим Соглашением порядке в целях осуществления деятельности, указанной в п. 1 настоящего Соглашения.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6.2. Концессионер обязан поддерживать Объект Соглашения в исправном состоянии, производить за свой счет текущий ремонт, нести расходы на содержание Объекта Соглашения.</w:t>
      </w:r>
      <w:r>
        <w:rPr>
          <w:color w:val="auto"/>
        </w:rPr>
      </w:r>
    </w:p>
    <w:p>
      <w:pPr>
        <w:ind w:left="0" w:firstLine="709"/>
        <w:jc w:val="left"/>
        <w:spacing w:after="0" w:line="240" w:lineRule="auto"/>
        <w:widowControl w:val="off"/>
        <w:tabs>
          <w:tab w:val="center" w:pos="888" w:leader="none"/>
          <w:tab w:val="center" w:pos="4221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6.3.</w:t>
      </w:r>
      <w:r>
        <w:rPr>
          <w:rFonts w:eastAsia="Arial"/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По настоящему Соглашению Концессионер не вправе: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</w:rPr>
        <w:t xml:space="preserve">приобретать Объект Соглашения (имущество, входящее в состав Объекта Соглашения) в собственность, в том числе в порядке реализации права на выкуп имущества;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</w:rPr>
        <w:t xml:space="preserve">передавать в залог или отчуждать имущество, входящее в состав Объекта Соглашения;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</w:rPr>
        <w:t xml:space="preserve">передавать права владения и (или) пользования имуществом, входящим в состав Объекта Соглашения, в том числе в субаренду;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</w:rPr>
        <w:t xml:space="preserve">уступать права требования, переводить долг по настоящему Соглашению в пользу иностранных физических и юридических лиц и иностранных структур без образования юридического лица, передавать права по настоящему Соглашению в доверительное управление;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</w:rPr>
        <w:t xml:space="preserve">нарушать иные установленные законодательством запреты.</w:t>
      </w:r>
      <w:r>
        <w:rPr>
          <w:color w:val="auto"/>
        </w:rPr>
      </w:r>
    </w:p>
    <w:p>
      <w:p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6.4. </w:t>
      </w:r>
      <w:r>
        <w:rPr>
          <w:color w:val="auto"/>
          <w:szCs w:val="24"/>
        </w:rPr>
        <w:t xml:space="preserve">Концессионер обязан обеспечить сохранность Объекта Соглашения.</w:t>
      </w:r>
      <w:r>
        <w:rPr>
          <w:color w:val="auto"/>
        </w:rPr>
      </w:r>
    </w:p>
    <w:p>
      <w:pPr>
        <w:numPr>
          <w:ilvl w:val="1"/>
          <w:numId w:val="5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6.5. </w:t>
      </w:r>
      <w:r>
        <w:rPr>
          <w:color w:val="auto"/>
          <w:szCs w:val="24"/>
        </w:rPr>
        <w:t xml:space="preserve">Продукция и доходы, полученные Концессионером в результате осуществления деятельности по настоящему Соглашению, являются собственностью Концессионера. </w:t>
      </w:r>
      <w:r>
        <w:rPr>
          <w:color w:val="auto"/>
        </w:rPr>
      </w:r>
    </w:p>
    <w:p>
      <w:pPr>
        <w:numPr>
          <w:ilvl w:val="1"/>
          <w:numId w:val="5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6.6. </w:t>
      </w:r>
      <w:r>
        <w:rPr>
          <w:color w:val="auto"/>
          <w:szCs w:val="24"/>
        </w:rPr>
        <w:t xml:space="preserve">При осуществлении Концессионером деятельности, предусмотренной настоящим Соглашением, не допускается создание недвижимого имущества, не относящегося к Объекту Соглашения. </w:t>
      </w:r>
      <w:r>
        <w:rPr>
          <w:color w:val="auto"/>
        </w:rPr>
      </w:r>
    </w:p>
    <w:p>
      <w:pPr>
        <w:numPr>
          <w:ilvl w:val="1"/>
          <w:numId w:val="5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6.7. </w:t>
      </w:r>
      <w:r>
        <w:rPr>
          <w:color w:val="auto"/>
          <w:szCs w:val="24"/>
        </w:rPr>
        <w:t xml:space="preserve">Движимое имущество, которое созд</w:t>
      </w:r>
      <w:r>
        <w:rPr>
          <w:color w:val="auto"/>
          <w:szCs w:val="24"/>
        </w:rPr>
        <w:t xml:space="preserve">ано и (или) приобретено Концессионером при осуществлении деятельности, предусмотренной настоящим Соглашением, за счёт денежных средств, указанных в п. 4.10 Настоящего Соглашения, и не входит в состав Объекта Соглашения, является собственностью Концедента. </w:t>
      </w:r>
      <w:r>
        <w:rPr>
          <w:color w:val="auto"/>
        </w:rPr>
      </w:r>
    </w:p>
    <w:p>
      <w:pPr>
        <w:numPr>
          <w:ilvl w:val="1"/>
          <w:numId w:val="5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6.8. </w:t>
      </w:r>
      <w:r>
        <w:rPr>
          <w:color w:val="auto"/>
          <w:szCs w:val="24"/>
        </w:rPr>
        <w:t xml:space="preserve">Концессионер обязан учитывать Объект Соглашения на своем балансе отдельно от собственного имущества. Учет осуществляется Концессионером в связи с исполнением обязательств по настоящему Соглашению. </w:t>
      </w:r>
      <w:r>
        <w:rPr>
          <w:color w:val="auto"/>
        </w:rPr>
      </w:r>
    </w:p>
    <w:p>
      <w:pPr>
        <w:numPr>
          <w:ilvl w:val="1"/>
          <w:numId w:val="5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6.9. </w:t>
      </w:r>
      <w:r>
        <w:rPr>
          <w:color w:val="auto"/>
          <w:szCs w:val="24"/>
        </w:rPr>
        <w:t xml:space="preserve">Риск случайной </w:t>
      </w:r>
      <w:r>
        <w:rPr>
          <w:color w:val="auto"/>
          <w:szCs w:val="24"/>
        </w:rPr>
        <w:t xml:space="preserve">гибели или случайного повреждения Объекта Соглашения несет Концессионер в период с даты передачи имущества по акту приема-передачи по дату исполнения обязанности Концессионера по возврату имущества в порядке, предусмотренном п. 7.2 настоящего Соглашения. 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7. Порядок возврата Концессионером Концеденту имущества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7.1. Концессионер обязан передать Концеденту, а Концедент обязан принять Объект Соглашения (имущество, входящее в состав Объекта Соглашения) в срок, указанный в п. 10.5 настоящего Соглашения. Передаваемый</w:t>
      </w:r>
      <w:r>
        <w:rPr>
          <w:color w:val="auto"/>
          <w:szCs w:val="24"/>
        </w:rPr>
        <w:t xml:space="preserve"> Концессионером Объект Соглашения (имущество, входящее в состав Объекта Соглашения) должен находиться в состоянии, указанном в Приложении № 8 к настоящему Соглашению, быть пригодным для осуществления деятельности, указанной в п. 1.1 настоящего Соглашения.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7.2. Передача Концессионером Концеденту Объекта Соглашения (имущества, входящего в состав Объекта Соглашения), осуществляется по акту приема-передачи, подписываемому </w:t>
      </w:r>
      <w:r>
        <w:rPr>
          <w:color w:val="auto"/>
          <w:szCs w:val="24"/>
        </w:rPr>
        <w:t xml:space="preserve">Сторонами. Акт приема-передачи оформляется Концессионером и направляется Концеденту не позднее даты окончани</w:t>
      </w:r>
      <w:r>
        <w:rPr>
          <w:color w:val="auto"/>
          <w:szCs w:val="24"/>
        </w:rPr>
        <w:t xml:space="preserve">я срока использования имущества, указанной в п. 10.6 настоящего Соглашения. При отсутствии возражений акт приема-передачи подлежит подписанию Концедентом и возврату Концессионеру в течение 20 (двадцати) рабочих дней с даты получения акта от Концессионера.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Обязанность Концессионера по передаче Объекта Соглашения (имущества, входящего в Объект Соглашения) считается исполненной с момента подписания Концессионером и Концедентом соответствующего акта приема-передачи.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При безосновательном уклонении Концедента от подписания акта приема-передачи обязанность Концессионера по передаче Объекта Соглашения (имущества, входящего в Объект Соглашения)</w:t>
      </w:r>
      <w:r>
        <w:rPr>
          <w:color w:val="auto"/>
          <w:szCs w:val="24"/>
        </w:rPr>
        <w:t xml:space="preserve">, считается исполненной, если Концессионер в установленном настоящим Соглашением порядке подготовил и направил Концеденту акт приема-передачи, но в течение 20 (двадцати) рабочих дней не получил от Концедента возражений относительно принимаемого имущества.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7.3. Концессионер одновременно с передачей Объекта Соглашения передает Концеденту необходимые документы, относящ</w:t>
      </w:r>
      <w:r>
        <w:rPr>
          <w:color w:val="auto"/>
          <w:szCs w:val="24"/>
        </w:rPr>
        <w:t xml:space="preserve">иеся к передаваемому Объекту Соглашения, которые были переданы Концедентом Концессионеру ранее, которые были разработаны в процессе выполнения Концессионером мероприятий по реконструкции Объекта Соглашения (объектов, входящих в состав Объекта Соглашения).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7.4. Прекращение прав Концессионера на владение и пользование объектами недвижимого иму</w:t>
      </w:r>
      <w:r>
        <w:rPr>
          <w:color w:val="auto"/>
          <w:szCs w:val="24"/>
        </w:rPr>
        <w:t xml:space="preserve">щества, входящими в состав Объекта Соглашения, подлежит государственной регистрации в установленном законодательством Российской Федерации порядке. Государственная регистрация прекращения указанных прав Концессионера осуществляется за счет Концессионера. 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Стороны обязуютс</w:t>
      </w:r>
      <w:r>
        <w:rPr>
          <w:color w:val="auto"/>
          <w:szCs w:val="24"/>
        </w:rPr>
        <w:t xml:space="preserve">я осуществить действия, необходимые для государственной регистрации прекращения указанных прав Концессионера, в том числе обратиться с заявлением в регистрирующий орган, в течение 5 (пяти) дней со дня подписания Концедентом акта приема-передачи имущества.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 </w:t>
      </w:r>
      <w:r>
        <w:rPr>
          <w:color w:val="auto"/>
          <w:szCs w:val="24"/>
        </w:rPr>
        <w:t xml:space="preserve">Порядок осуществления Концессионером деятельности,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предусмотренной Соглашением, и иной деятельности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8.1. </w:t>
      </w:r>
      <w:r>
        <w:rPr>
          <w:color w:val="auto"/>
          <w:szCs w:val="24"/>
        </w:rPr>
        <w:t xml:space="preserve">В соответствии с настоящим Соглашением Концессионер обязан на условиях, предусмотренных настоящим Соглашен</w:t>
      </w:r>
      <w:r>
        <w:rPr>
          <w:color w:val="auto"/>
          <w:szCs w:val="24"/>
        </w:rPr>
        <w:t xml:space="preserve">ием, осуществлять деятельность, указанную в п. 1.1 настоящего Соглашения, и не прекращать (не приостанавливать) эту деятельность без согласия Концедента, за исключением случаев, установленных законодательством Российской Федерации и настоящим Соглашением.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При осуществлении Концессионером деятельности по настоящ</w:t>
      </w:r>
      <w:r>
        <w:rPr>
          <w:color w:val="auto"/>
          <w:szCs w:val="24"/>
        </w:rPr>
        <w:t xml:space="preserve">ему Соглашению полезный отпуск тепловой энергии, вырабатываемый источниками тепловой энергии (котельными), должен соответствовать схеме теплоснабжения, с учетом фактических режимов работы источников тепловой энергии (котельных) и режимов теплопотребления.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8.2. </w:t>
      </w:r>
      <w:r>
        <w:rPr>
          <w:color w:val="auto"/>
          <w:szCs w:val="24"/>
        </w:rPr>
        <w:t xml:space="preserve">Концессионер обязан осуществлять деятельность по использованию (эксплуатации) Объекта Соглашения в соответствии с требованиями, установленными законодательством Российской Федерации.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8.3. </w:t>
      </w:r>
      <w:r>
        <w:rPr>
          <w:color w:val="auto"/>
          <w:szCs w:val="24"/>
        </w:rPr>
        <w:t xml:space="preserve">Концессионер обязан осуществлять деятельность, указанную в п. 1.1 настоящего Соглашения, с момента передачи Объекта Соглашения Концессионеру и подписания соответствующих актов приема-передачи и до момента возврата Объекта Соглашения Концеденту.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8.4. </w:t>
      </w:r>
      <w:r>
        <w:rPr>
          <w:color w:val="auto"/>
          <w:szCs w:val="24"/>
        </w:rPr>
        <w:t xml:space="preserve">Концессионер обязан при осуществлении деятельности, указанной в п. 1.1 настоящего Соглашения, осуществлять реализацию производимых товаров по регулируемым ценам (тарифам).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Концессионер обязан при осуществлении деятельности, указанной в п. 1.1 нас</w:t>
      </w:r>
      <w:r>
        <w:rPr>
          <w:color w:val="auto"/>
          <w:szCs w:val="24"/>
        </w:rPr>
        <w:t xml:space="preserve">тоящего Соглашения, предоставлять потребителям установленные федеральными законами, законами субъекта Российской Федерации, нормативными правовыми актами органов местного самоуправления льготы. Указанные льготы предоставляются Концессионером в случаях и в </w:t>
      </w:r>
      <w:r>
        <w:rPr>
          <w:color w:val="auto"/>
          <w:szCs w:val="24"/>
        </w:rPr>
        <w:t xml:space="preserve">порядке, предусмотренных действующим законодательством Российской Федерации.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8.5. </w:t>
      </w:r>
      <w:r>
        <w:rPr>
          <w:color w:val="auto"/>
          <w:szCs w:val="24"/>
        </w:rPr>
        <w:t xml:space="preserve">Регулирование тарифов на производимые Концессионером товары осуществляется в соответствии с методом индексации тарифов</w:t>
      </w:r>
      <w:r>
        <w:rPr>
          <w:i/>
          <w:color w:val="auto"/>
          <w:szCs w:val="24"/>
        </w:rPr>
        <w:t xml:space="preserve">.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Значения долгосрочных параметров ре</w:t>
      </w:r>
      <w:r>
        <w:rPr>
          <w:color w:val="auto"/>
          <w:szCs w:val="24"/>
        </w:rPr>
        <w:t xml:space="preserve">гулирования деятельности Концессионера (долгосрочные параметры государственного регулирования цен (тарифов) в сфере теплоснабжения, определенные в соответствии с нормативными правовыми актами Российской Федерации в сфере теплоснабжения) на производимые Кон</w:t>
      </w:r>
      <w:r>
        <w:rPr>
          <w:color w:val="auto"/>
          <w:szCs w:val="24"/>
        </w:rPr>
        <w:t xml:space="preserve">цессионером товары, согласованные с органами исполнительной власти, осуществляющими регулирование цен (тарифов) в соответствии с законодательством Российской  Федерации в сфере регулирования цен (тарифов), указаны в Приложении № 5 к настоящему Соглашению.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8.6. </w:t>
      </w:r>
      <w:r>
        <w:rPr>
          <w:color w:val="auto"/>
          <w:szCs w:val="24"/>
        </w:rPr>
        <w:t xml:space="preserve">Кон</w:t>
      </w:r>
      <w:r>
        <w:rPr>
          <w:color w:val="auto"/>
          <w:szCs w:val="24"/>
        </w:rPr>
        <w:t xml:space="preserve">цессионер обязан заключить с ресурсоснабжающими организациями договоры поставки энергетических ресурсов, потребляемых при исполнении концессионного соглашения, а также оплачивать указанные энергетические ресурсы в соответствии с условиями таких договоров.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8.7. </w:t>
      </w:r>
      <w:r>
        <w:rPr>
          <w:color w:val="auto"/>
          <w:szCs w:val="24"/>
        </w:rPr>
        <w:t xml:space="preserve">Объем валовой выручки, получаемой Концессионером в рамках реализации настоящего Соглашения: </w:t>
      </w:r>
      <w:r>
        <w:rPr>
          <w:color w:val="auto"/>
        </w:rPr>
      </w:r>
    </w:p>
    <w:tbl>
      <w:tblPr>
        <w:tblStyle w:val="964"/>
        <w:tblW w:w="5000" w:type="pct"/>
        <w:tblInd w:w="0" w:type="dxa"/>
        <w:tblCellMar>
          <w:left w:w="110" w:type="dxa"/>
          <w:top w:w="60" w:type="dxa"/>
        </w:tblCellMar>
        <w:tblLook w:val="04A0" w:firstRow="1" w:lastRow="0" w:firstColumn="1" w:lastColumn="0" w:noHBand="0" w:noVBand="1"/>
      </w:tblPr>
      <w:tblGrid>
        <w:gridCol w:w="923"/>
        <w:gridCol w:w="5418"/>
        <w:gridCol w:w="3866"/>
      </w:tblGrid>
      <w:tr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2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auto"/>
              </w:rPr>
            </w:pPr>
            <w:r>
              <w:rPr>
                <w:color w:val="auto"/>
              </w:rPr>
              <w:t xml:space="preserve">№  п/п  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</w:rPr>
            </w:pPr>
            <w:r>
              <w:rPr>
                <w:color w:val="auto"/>
              </w:rPr>
              <w:t xml:space="preserve">Год срока действия настоящего Соглашения  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</w:rPr>
            </w:pPr>
            <w:r>
              <w:rPr>
                <w:color w:val="auto"/>
              </w:rPr>
              <w:t xml:space="preserve">Объем валовой выручки, тыс. руб.  </w:t>
            </w:r>
            <w:r>
              <w:rPr>
                <w:color w:val="auto"/>
              </w:rPr>
            </w:r>
          </w:p>
        </w:tc>
      </w:tr>
      <w:tr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2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1.  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2024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1 963,63</w:t>
            </w:r>
            <w:r>
              <w:rPr>
                <w:color w:val="auto"/>
              </w:rPr>
            </w:r>
          </w:p>
        </w:tc>
      </w:tr>
      <w:tr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2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2.  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2025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2 061,81</w:t>
            </w:r>
            <w:r>
              <w:rPr>
                <w:color w:val="auto"/>
              </w:rPr>
            </w:r>
          </w:p>
        </w:tc>
      </w:tr>
      <w:tr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2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3.  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2026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2 164,90</w:t>
            </w:r>
            <w:r>
              <w:rPr>
                <w:color w:val="auto"/>
              </w:rPr>
            </w:r>
          </w:p>
        </w:tc>
      </w:tr>
      <w:tr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2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4.  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2027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2 273,15</w:t>
            </w:r>
            <w:r>
              <w:rPr>
                <w:color w:val="auto"/>
              </w:rPr>
            </w:r>
          </w:p>
        </w:tc>
      </w:tr>
      <w:tr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2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5.  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2028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2 386,80</w:t>
            </w:r>
            <w:r>
              <w:rPr>
                <w:color w:val="auto"/>
              </w:rPr>
            </w:r>
          </w:p>
        </w:tc>
      </w:tr>
      <w:tr>
        <w:trPr>
          <w:trHeight w:val="3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Итого 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10 850,29</w:t>
            </w:r>
            <w:r>
              <w:rPr>
                <w:color w:val="auto"/>
              </w:rPr>
            </w:r>
          </w:p>
        </w:tc>
      </w:tr>
    </w:tbl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Объем валовой выручки является ориентировочно-расчетным и подлежит ежегодной корректировке в соответствии с требованиями действующего законодательства в сфере теплоснабжения.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8.8 Концессионер обязан предоставить обеспечение исполнения обязательств по настоящему Соглашению в виде безотзывной банковской гарантии.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Обеспечение предоставляется сроком на 1 (один) год с последующей ежегодной пролонгацией до окончания срока исполнения обязательств.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Концессионер обязан представить обеспечение обязательств по концессионному соглашению в течение 30 (тридцати) календарных дней с момента подписания Концессионного соглашения.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  <w:highlight w:val="yellow"/>
        </w:rPr>
      </w:pPr>
      <w:r>
        <w:rPr>
          <w:rStyle w:val="967"/>
          <w:color w:val="auto"/>
        </w:rPr>
        <w:t xml:space="preserve">Величина обеспечения 39 350 (Тридцать девять тысяч триста пятьдесят) рублей 00 копеек, что составляет 5 % от стоимости мероприятий по реконструкции Объекта Соглашения, указанных в Приложении № 6 к настоящему Соглашению.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8.9. Концессионер не имеет право осуществлять с использованием Объекта соглашения иную деятельность, не относящуюся к предмету Соглашения (раздел 1 настоящего Соглашения).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9. </w:t>
      </w:r>
      <w:r>
        <w:rPr>
          <w:color w:val="auto"/>
          <w:szCs w:val="24"/>
        </w:rPr>
        <w:t xml:space="preserve">Концессионная плата и плата Концедента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9. 1. Концессионная плата по настоящему Соглашению не взимается.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  <w:szCs w:val="24"/>
        </w:rPr>
      </w:pPr>
      <w:r>
        <w:rPr>
          <w:b/>
          <w:bCs/>
          <w:color w:val="auto"/>
          <w:szCs w:val="24"/>
        </w:rPr>
        <w:t xml:space="preserve">9.2. Плата Концендента</w:t>
      </w:r>
      <w:r>
        <w:rPr>
          <w:b/>
          <w:bCs/>
          <w:color w:val="auto"/>
          <w:szCs w:val="24"/>
        </w:rPr>
        <w:t xml:space="preserve">.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widowControl w:val="off"/>
        <w:tabs>
          <w:tab w:val="left" w:pos="142" w:leader="none"/>
          <w:tab w:val="left" w:pos="1134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9.2.1.</w:t>
      </w:r>
      <w:r>
        <w:rPr>
          <w:color w:val="auto"/>
          <w:szCs w:val="24"/>
        </w:rPr>
        <w:t xml:space="preserve"> Настоящим Соглашением предусмотрено внесение платы Концедента в течение срока выполнения мероприятий, указанных в </w:t>
      </w:r>
      <w:r>
        <w:rPr>
          <w:color w:val="auto"/>
          <w:szCs w:val="24"/>
        </w:rPr>
        <w:t xml:space="preserve"> Приложении № 6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С</w:t>
      </w:r>
      <w:r>
        <w:rPr>
          <w:color w:val="auto"/>
          <w:szCs w:val="24"/>
        </w:rPr>
        <w:t xml:space="preserve">оглашения. Условия, размер и порядок внесения такой платы установлен настоящим Разделом.</w:t>
      </w:r>
      <w:r>
        <w:rPr>
          <w:color w:val="auto"/>
        </w:rPr>
      </w:r>
    </w:p>
    <w:p>
      <w:pPr>
        <w:pStyle w:val="977"/>
        <w:ind w:left="6" w:firstLine="697"/>
        <w:jc w:val="both"/>
        <w:widowControl w:val="off"/>
        <w:rPr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9.2.2 Плата Концедента направляется на финансирование на этапе реконструкции объектов</w:t>
      </w:r>
      <w:bookmarkStart w:id="0" w:name="_GoBack"/>
      <w:r>
        <w:rPr>
          <w:color w:val="auto"/>
        </w:rPr>
      </w:r>
      <w:bookmarkEnd w:id="0"/>
      <w:r>
        <w:rPr>
          <w:rFonts w:ascii="Times New Roman" w:hAnsi="Times New Roman" w:cs="Times New Roman"/>
          <w:color w:val="auto"/>
          <w:sz w:val="24"/>
          <w:szCs w:val="24"/>
        </w:rPr>
        <w:t xml:space="preserve"> концессионног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 соглашения части расходов на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реконструкцию объектов концессионного соглашения в составе Объекта Соглашения в 2024 году в размере 393 000  (Триста девяносто три тысячи) рублей.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shd w:val="clear" w:color="ffffff" w:themeColor="background1" w:fill="ffffff" w:themeFill="background1"/>
        <w:widowControl w:val="off"/>
        <w:rPr>
          <w:color w:val="auto"/>
          <w:szCs w:val="24"/>
          <w:highlight w:val="white"/>
        </w:rPr>
      </w:pPr>
      <w:r>
        <w:rPr>
          <w:color w:val="auto"/>
          <w:szCs w:val="24"/>
          <w:highlight w:val="white"/>
        </w:rPr>
        <w:t xml:space="preserve">9.2.3. Плата Концедента перечисляется на счет Концессионера в срок не позднее:</w:t>
      </w:r>
      <w:r>
        <w:rPr>
          <w:color w:val="auto"/>
        </w:rPr>
      </w:r>
    </w:p>
    <w:p>
      <w:pPr>
        <w:ind w:left="6" w:firstLine="697"/>
        <w:spacing w:after="0" w:line="240" w:lineRule="auto"/>
        <w:shd w:val="clear" w:color="ffffff" w:themeColor="background1" w:fill="ffffff" w:themeFill="background1"/>
        <w:widowControl w:val="off"/>
        <w:rPr>
          <w:color w:val="auto"/>
          <w:szCs w:val="24"/>
          <w:highlight w:val="yellow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  <w:highlight w:val="white"/>
        </w:rPr>
        <w:t xml:space="preserve">393 000 (Триста девяносто три тысячи) рублей до 31.07.2024 года;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 П</w:t>
      </w:r>
      <w:r>
        <w:rPr>
          <w:color w:val="auto"/>
          <w:szCs w:val="24"/>
        </w:rPr>
        <w:t xml:space="preserve">лата осуществляется  путем безналичного перечисления денежных средств на расчетный счет Концессионера, в рублях Российской Федерации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9.2.4. Плата Концедента в</w:t>
      </w:r>
      <w:r>
        <w:rPr>
          <w:color w:val="auto"/>
          <w:szCs w:val="24"/>
        </w:rPr>
        <w:t xml:space="preserve">носится на отдельный расчетный счет, открытый Концессионером. Концессионер обязан в течение 5 (пяти) рабочих дней с даты заключения настоящего Соглашения открыть отдельный расчетный счет, на который будут перечисляться средства Концедента для оплаты работ </w:t>
      </w:r>
      <w:r>
        <w:rPr>
          <w:color w:val="auto"/>
          <w:szCs w:val="24"/>
        </w:rPr>
        <w:t xml:space="preserve">по </w:t>
      </w:r>
      <w:r>
        <w:rPr>
          <w:color w:val="auto"/>
          <w:szCs w:val="24"/>
        </w:rPr>
        <w:t xml:space="preserve">реконструкции Объекта Соглашения, возмещения убытков Концессионера, о чем Концессионер незамедлительно обязан уведомить Концедента.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9.2.5. </w:t>
      </w:r>
      <w:r>
        <w:rPr>
          <w:color w:val="auto"/>
          <w:szCs w:val="24"/>
        </w:rPr>
        <w:t xml:space="preserve">Концедент во исполнение обязательств по настоящему Соглашению обязан обеспечить принятие соответствующего правового акта, предусматривающего включение бюджетных ассигнований в соответствии с пунктами  9.2.1, 9.2.2, 9.2.3 в бюджет на текущий финансовый год.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9.2.6. Оплата части расходов на финансирование реконструкции объектов имущества в составе Объекта Соглашения за счет средств Концедента осуществляется только с отдельного расчетного счета Концессионера.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9.2.7. Концессионер не вправе отказать Концеденту или его уполномоченному лицу в предоставлении информации о расходовании денежных средств, полученных как плата Концедента.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9.2.8. Концессионер обязан расходовать полученную плату Концедента на цели, указанные в пункте   9.2.2 настоящего Соглашения.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9.2.9. При существенном нарушении Концедентом сроков, установленных пунктом 9.2.3 настоящего Раздела, Концессионер вправе приостановить реконструкцию объекта имущества в составе Объекта Соглашения, письменно уведомив об этом Концедента. </w:t>
      </w:r>
      <w:r>
        <w:rPr>
          <w:color w:val="auto"/>
        </w:rPr>
      </w:r>
    </w:p>
    <w:p>
      <w:pPr>
        <w:pStyle w:val="966"/>
        <w:ind w:left="6" w:firstLine="697"/>
        <w:spacing w:after="0" w:line="240" w:lineRule="auto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9.2.10. В течение года с момента ввода в эксплуатацию объектов в составе Объекта Соглашения, Концессионер обязан достигнуть целевых показателей деятельности, указанных в Приложении № 5 к настоящему Соглашению.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10. Сроки, предусмотренные настоящим Соглашением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10.1. Настоящее Соглашение вступает в силу с «</w:t>
      </w:r>
      <w:r>
        <w:rPr>
          <w:color w:val="auto"/>
          <w:szCs w:val="24"/>
        </w:rPr>
        <w:t xml:space="preserve">______</w:t>
      </w:r>
      <w:r>
        <w:rPr>
          <w:color w:val="auto"/>
          <w:szCs w:val="24"/>
        </w:rPr>
        <w:t xml:space="preserve">» ________________ 2024 года и действует до «</w:t>
      </w:r>
      <w:r>
        <w:rPr>
          <w:color w:val="auto"/>
          <w:szCs w:val="24"/>
        </w:rPr>
        <w:t xml:space="preserve">_____</w:t>
      </w:r>
      <w:r>
        <w:rPr>
          <w:color w:val="auto"/>
          <w:szCs w:val="24"/>
        </w:rPr>
        <w:t xml:space="preserve">» _______________ 2028 года включительно.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10.2. Срок реконструкции Объекта Соглашения определяется в соответствии с Приложением № 6 к настоящему Соглашению.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10.3. Срок передачи Концедентом Концессионеру имущества, которое находится в собственности Концедента на дату заключения настоящего Соглашения – в течение 5 (пяти) календарных дней с даты подписания настоящего Соглашения.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10.4. Срок передачи Концессионером Концеденту Объекта Соглашения - «</w:t>
      </w:r>
      <w:r>
        <w:rPr>
          <w:color w:val="auto"/>
          <w:szCs w:val="24"/>
        </w:rPr>
        <w:t xml:space="preserve">_______</w:t>
      </w:r>
      <w:r>
        <w:rPr>
          <w:color w:val="auto"/>
          <w:szCs w:val="24"/>
        </w:rPr>
        <w:t xml:space="preserve">»       _____________ 2028 года. 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10.5. Срок</w:t>
      </w:r>
      <w:r>
        <w:rPr>
          <w:color w:val="auto"/>
          <w:szCs w:val="24"/>
        </w:rPr>
        <w:t xml:space="preserve"> использования Концессионером Объекта Соглашения – с даты подписания акта приема-передачи Объекта Соглашения от Концедента к Концессионеру до прекращения обязанности Концессионера по осуществлению деятельности, предусмотренной п.1.1 настоящего Соглашения.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10.6. Срок осуществления Концессионером деятельности, указанной в п. 1.1 настоящего Соглашения – с даты передачи Концессионеру имущества, входящего с состав Объекта Соглашения, и до даты возврата Объекта Соглашения Концеденту.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10.7. Сроки реализации инвестиционных обязательств Ко</w:t>
      </w:r>
      <w:r>
        <w:rPr>
          <w:color w:val="auto"/>
          <w:szCs w:val="24"/>
        </w:rPr>
        <w:t xml:space="preserve">нцессионера могут быть перенесены в случае принятия Правительством РФ решения о возможности изменения на период до трех лет долгосрочных тарифов в сфере теплоснабжения, и (или) необходимой валовой выручки теплоснабжающих организаций, теплосетевых организац</w:t>
      </w:r>
      <w:r>
        <w:rPr>
          <w:color w:val="auto"/>
          <w:szCs w:val="24"/>
        </w:rPr>
        <w:t xml:space="preserve">ий, определенной в соответствии с основами ценообразования в сфере теплоснабжения и водоснабжения на основе долгосрочных параметров государственного регулирования цен (тарифов) в сфере теплоснабжения и водоснабжения, и (или) долгосрочных параметров государ</w:t>
      </w:r>
      <w:r>
        <w:rPr>
          <w:color w:val="auto"/>
          <w:szCs w:val="24"/>
        </w:rPr>
        <w:t xml:space="preserve">ственного регулирования цен (тарифов) в сфере теплоснабжения и водоснабжения,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</w:t>
      </w:r>
      <w:r>
        <w:rPr>
          <w:color w:val="auto"/>
          <w:szCs w:val="24"/>
        </w:rPr>
        <w:t xml:space="preserve">самоуправления поселения или городского округа, в связи с существенным ухудшением экономической конъюнктуры, при котором объем валового внутреннего продукта, определяемый</w:t>
      </w:r>
      <w:r>
        <w:rPr>
          <w:color w:val="auto"/>
          <w:szCs w:val="24"/>
        </w:rPr>
        <w:t xml:space="preserve"> федеральным органом исполнительной власти, уполномоченным в области государственного статистического учета, в постоянных ценах за один из кварталов текущего года меньше, чем объем валового внутреннего продукта в соответствующем квартале предыдущего года.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 Порядок осуществления Концедентом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контроля за соблюдением Концессионером условий настоящего Соглашения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11.1. Концедент осуществляет контроль за соблюдением Ко</w:t>
      </w:r>
      <w:r>
        <w:rPr>
          <w:color w:val="auto"/>
          <w:szCs w:val="24"/>
        </w:rPr>
        <w:t xml:space="preserve">нцессионером условий настоящего Соглашения, в том числе за исполнением обязательств по соблюдению сроков реконструкции Объекта Соглашения, осуществлению инвестиций в его реконструкцию, обеспечению соответствия технико-экономических показателей Объекта Согл</w:t>
      </w:r>
      <w:r>
        <w:rPr>
          <w:color w:val="auto"/>
          <w:szCs w:val="24"/>
        </w:rPr>
        <w:t xml:space="preserve">ашения установленным настоящим Соглашением технико-экономическим показателям, осуществлению деятельности, предусмотренной настоящим Соглашением, использованию (эксплуатации) Объекта Соглашения в соответствии с целями, установленными настоящим Соглашением. 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Концедент не реже 1 (одного) раза в год проводит проверку соблюдения со </w:t>
      </w:r>
      <w:r>
        <w:rPr>
          <w:color w:val="auto"/>
          <w:szCs w:val="24"/>
        </w:rPr>
        <w:t xml:space="preserve">стороны Концессионера условий концессионного соглашения. О планируемой проверке Концедент уведомляет Концессионера за 10 (десять) рабочих дней до начала проведения. Выездная проверка осуществляется в присутствии ответственных представителей Концессионера.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11.2. Концедент вправе определить уполномоченный орган и (или) юридическое лицо в соответствии с законодательством Российской Федерации, законодательством субъектов Российской Федерации и нормативными правовыми актами органов ме</w:t>
      </w:r>
      <w:r>
        <w:rPr>
          <w:color w:val="auto"/>
          <w:szCs w:val="24"/>
        </w:rPr>
        <w:t xml:space="preserve">стного самоуправления для осуществления контроля в рамках настоящего Соглашения. В случае определения уполномоченного органа и (или) юридического лица, Концедент уведомляет о таких органах, лицах и об осуществляемых ими правах и обязанностях Концессионера.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11.3. Концессионер обязан обеспечить представителям уполномоченных Концедентом органов или</w:t>
      </w:r>
      <w:r>
        <w:rPr>
          <w:color w:val="auto"/>
          <w:szCs w:val="24"/>
        </w:rPr>
        <w:t xml:space="preserve"> юридических лиц, осуществляющим контроль за исполнением Концессионером условий настоящего Соглашения, беспрепятственный доступ на Объект Соглашения, а также к документации, относящейся к осуществлению деятельности, указанной в п. 1 настоящего Соглашения.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11.4. Концедент имеет право запрашивать у Концессионера, а Концессионер обязан предоставить документы и информацию об исполнении Концессионером обязательств, предусмотренных настоящим Соглашением.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Запрашиваемые Концедентом документы и информацию, относящиеся к исполнению обязательств по реконструкции Объекта Соглашения, Концессионер обязан предоставить в течение 5 (пяти) рабочих дней с момента получения письменного запроса.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11.5. Концедент не вправе вмешиваться в осуществление хозяйственной деятельности Концессионера.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11.6. Представители уполномоченных Концедентом органов или юридических лиц не вправе разглашать сведения, отнесенные настоящим Соглашением к сведениям конфиденциального характера или являющиеся коммерческой тайной.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11.7. При обнаружении Концедентом в ходе осуществления контроля за </w:t>
      </w:r>
      <w:r>
        <w:rPr>
          <w:color w:val="auto"/>
          <w:szCs w:val="24"/>
        </w:rPr>
        <w:t xml:space="preserve">деятельностью Концессионера нарушений, которые могут существенно повлиять на соблюдение Концессионером условий настоящего Соглашения, Концедентобязан сообщить об этом Концессионеру в течение 10 (десяти) рабочих дней со дня обнаружения указанных нарушений.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11.8. Результаты осуществления контроля за соблюдением Концессионером условий настоящего Соглашения оформляются актом о результатах контроля.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Акт о результатах контроля подлежит размещению Концедентом в течение 5 </w:t>
      </w:r>
      <w:r>
        <w:rPr>
          <w:color w:val="auto"/>
          <w:szCs w:val="24"/>
        </w:rPr>
        <w:t xml:space="preserve">(пяти) рабочих дней со дня составления указанного акта на официальном сайте Концедента в сети Интернет. Доступ к указанному акту обеспечивается в течение срока действия настоящего Соглашения и после дня окончания его срока действия в течение 3 (трех) лет.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11.9. Стороны обязаны своевременно предоставлять друг другу информацию, необходимую для исполнения обязанностей, предусмотренных настоящим Соглашением, и незамедлительно уведомлять друг друга о наступлении существенных событий, способных </w:t>
      </w:r>
      <w:r>
        <w:rPr>
          <w:color w:val="auto"/>
          <w:szCs w:val="24"/>
        </w:rPr>
        <w:t xml:space="preserve">повлиять на надлежащее исполнение указанных обязанностей.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12. Обязанности Субъекта РФ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12.1. Установление тарифов в соответствии с долгосрочными параметрами регулирования деятельности Концессионера и методом регулирования тарифов, установленных настоящим Соглашением</w:t>
      </w:r>
      <w:r>
        <w:rPr>
          <w:color w:val="auto"/>
          <w:szCs w:val="24"/>
        </w:rPr>
        <w:t xml:space="preserve">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12.2. Утверждение инвестиционных программ Концессионера в соответствии с установленными настоящим Соглашением заданием и мероприятиями, плановыми показателями деятельности Концессионера, предельным уровнем расходов на реконструкцию Объекта Соглашения </w:t>
      </w:r>
      <w:r>
        <w:rPr>
          <w:color w:val="auto"/>
        </w:rPr>
        <w:t xml:space="preserve">(в случае, если инвестиционная программа Концессионера будет разработана)</w:t>
      </w:r>
      <w:r>
        <w:rPr>
          <w:color w:val="auto"/>
          <w:szCs w:val="24"/>
        </w:rPr>
        <w:t xml:space="preserve">.</w:t>
      </w:r>
      <w:r>
        <w:rPr>
          <w:color w:val="auto"/>
        </w:rPr>
      </w:r>
    </w:p>
    <w:p>
      <w:pPr>
        <w:ind w:left="4"/>
        <w:spacing w:after="0" w:line="240" w:lineRule="auto"/>
        <w:shd w:val="clear" w:color="ffffff" w:themeColor="background1" w:fill="ffffff" w:themeFill="background1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12.3. Возмещение недополученных доходов, экономически обоснованных расходов Концессионера, подлежащих возмещению за счет средств бюджета Субъекта РФ, в том числе</w:t>
      </w:r>
      <w:r>
        <w:rPr>
          <w:color w:val="auto"/>
          <w:szCs w:val="24"/>
        </w:rPr>
        <w:t xml:space="preserve"> в случае принятия Департаментом государственного регулирования цен и тарифов Костромской области,решения об изменении долгосрочных тарифов и (или) необходимой валовой выручки Концессионера, рассчитанных на основе долгосрочных параметров регулирования деят</w:t>
      </w:r>
      <w:r>
        <w:rPr>
          <w:color w:val="auto"/>
          <w:szCs w:val="24"/>
        </w:rPr>
        <w:t xml:space="preserve">ельности Концессионера и предусмотренных настоящим Соглашением в соответствии с основами ценообразования в сфере теплоснабжения, водоснабжения, и (или) долгосрочных параметров регулирования деятельности Концессионера, установленных Департаментом государств</w:t>
      </w:r>
      <w:r>
        <w:rPr>
          <w:color w:val="auto"/>
          <w:szCs w:val="24"/>
        </w:rPr>
        <w:t xml:space="preserve">енного регулирования цен и тарифов Костромской области, и (или) решения об установлении тарифов Концессионера на основе долгосрочных параметров регулирования деятельности Концессионера, отличных от долгосрочных параметров регулирования деятельности Концесс</w:t>
      </w:r>
      <w:r>
        <w:rPr>
          <w:color w:val="auto"/>
          <w:szCs w:val="24"/>
        </w:rPr>
        <w:t xml:space="preserve">ионера, установленных либо согласованных Департаментом государственного регулирования цен и тарифов Костромской области, в соответствии с Федеральным законом от 21.07.2005 № 115-ФЗ «О концессионных соглашениях» (далее – ФЗ «О концессионных соглашениях»).  </w:t>
      </w:r>
      <w:r>
        <w:rPr>
          <w:color w:val="auto"/>
        </w:rPr>
      </w:r>
    </w:p>
    <w:p>
      <w:pPr>
        <w:ind w:left="4"/>
        <w:spacing w:after="0" w:line="240" w:lineRule="auto"/>
        <w:shd w:val="clear" w:color="ffffff" w:themeColor="background1" w:fill="ffffff" w:themeFill="background1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12.4. Иные обязанности, устанавливаемые нормативными правовыми актами Субъекта РФ.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 Ответственность Сторон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13.1. За неисполнение или ненадлежащее исполнение обязательств, предусмотренных настоящим Соглашением, Стороны несут ответственность, предусмотренную законодательством Российской Федерации и настоящим Соглашением.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13.2. Ко</w:t>
      </w:r>
      <w:r>
        <w:rPr>
          <w:color w:val="auto"/>
          <w:szCs w:val="24"/>
        </w:rPr>
        <w:t xml:space="preserve">нцессионер несет ответственность перед Концедентом за допущенное при реконструкции Объекта Соглашения нарушение требований, установленных настоящим Соглашением, требований технических регламентов, иных обязательных требований к качеству Объекта Соглашения.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13.3. В случае нарушения требований, указанных в пункте 13.2 настоящего Соглашения, Концедентобязан в течение 10 (десяти) рабочих дней с даты обнаружения нарушения направить Концесси</w:t>
      </w:r>
      <w:r>
        <w:rPr>
          <w:color w:val="auto"/>
          <w:szCs w:val="24"/>
        </w:rPr>
        <w:t xml:space="preserve">онеру в письменной форме требование безвозмездно устранить обнаруженное нарушение с указанием пункта настоящего Соглашения и (или) документа, требования которых нарушены. При этом срок для устранения нарушения устанавливается с учетом принципа разумности.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13.4. Концессионер обязан возместить причиненные Концеденту убытки, вызванные нарушением Концессио</w:t>
      </w:r>
      <w:r>
        <w:rPr>
          <w:color w:val="auto"/>
          <w:szCs w:val="24"/>
        </w:rPr>
        <w:t xml:space="preserve">нером требований, указанных в пунктах 4.1, 4.8, 6.1, 6.2, 6.3, 6.4, 7.1, 7.4, 8.8 настоящего Соглашения, если эти нарушения не были устранены Концессионером в срок, определенный Концедентом в требовании об устранении нарушений, или являются существенными.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13.5. Концессионер обязан уплатить неустойку в размере 1/300 (одной трехсотой) ставки рефинансирования ЦБ Российской Федерации от суммы убытков, размер которых согласовывается Сторонам или определяется судом, в случаях: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</w:rPr>
        <w:t xml:space="preserve">неисполнения (ненадлежащего исполнения) обязательств Концессионера по реконструкции Объекта Соглашения;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>
        <w:rPr>
          <w:color w:val="auto"/>
          <w:szCs w:val="24"/>
        </w:rPr>
        <w:t xml:space="preserve">использования (эксплуатации) Объекта Соглашения (имущества, входящего в состав Объекта Соглашения) с нарушением условий настоящего Соглашения. </w:t>
      </w:r>
      <w:r>
        <w:rPr>
          <w:color w:val="auto"/>
        </w:rPr>
      </w:r>
    </w:p>
    <w:p>
      <w:pPr>
        <w:pStyle w:val="966"/>
        <w:ind w:left="0"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13.6. В случае нарушения Концедентом сроков выплаты Компенсационной стоимости Концедент выплачивает Концессионеру штрафную неустойку в размере 1/300 ставки </w:t>
      </w:r>
      <w:r>
        <w:rPr>
          <w:color w:val="auto"/>
          <w:szCs w:val="24"/>
        </w:rPr>
        <w:t xml:space="preserve">рефинансирования Банка России, от подлежащей выплате суммы за каждый день просрочки.</w:t>
      </w:r>
      <w:r>
        <w:rPr>
          <w:color w:val="auto"/>
        </w:rPr>
      </w:r>
    </w:p>
    <w:p>
      <w:pPr>
        <w:numPr>
          <w:ilvl w:val="1"/>
          <w:numId w:val="8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13.7. </w:t>
      </w:r>
      <w:r>
        <w:rPr>
          <w:color w:val="auto"/>
          <w:szCs w:val="24"/>
        </w:rPr>
        <w:t xml:space="preserve">Концессионер несет </w:t>
      </w:r>
      <w:r>
        <w:rPr>
          <w:color w:val="auto"/>
          <w:szCs w:val="24"/>
        </w:rPr>
        <w:t xml:space="preserve">перед Концедентом ответственность за качество работ по реконструкции Объекта Соглашения (объекта, входящего в состав Объекта Соглашения) в течение 3 (трех) лет со дня передачи Объекта Соглашения (объекта, входящего в состав Объекта Соглашения) Концеденту. </w:t>
      </w:r>
      <w:r>
        <w:rPr>
          <w:color w:val="auto"/>
        </w:rPr>
      </w:r>
    </w:p>
    <w:p>
      <w:pPr>
        <w:numPr>
          <w:ilvl w:val="1"/>
          <w:numId w:val="8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13.8. </w:t>
      </w:r>
      <w:r>
        <w:rPr>
          <w:color w:val="auto"/>
          <w:szCs w:val="24"/>
        </w:rPr>
        <w:t xml:space="preserve">Концедент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обязан возместить Концессионеру убытки, возникшие у последнего в связи с нарушением Концедентом сроков исполнения, указанных в разделе 5 настоящего Соглашения обязательств. </w:t>
      </w:r>
      <w:r>
        <w:rPr>
          <w:color w:val="auto"/>
        </w:rPr>
      </w:r>
    </w:p>
    <w:p>
      <w:pPr>
        <w:numPr>
          <w:ilvl w:val="1"/>
          <w:numId w:val="8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13.9</w:t>
      </w:r>
      <w:r>
        <w:rPr>
          <w:color w:val="auto"/>
          <w:szCs w:val="24"/>
        </w:rPr>
        <w:t xml:space="preserve">. </w:t>
      </w:r>
      <w:r>
        <w:rPr>
          <w:color w:val="auto"/>
          <w:szCs w:val="24"/>
        </w:rPr>
        <w:t xml:space="preserve">В случае если в результате действий или бездействия Концедента исполнение обязательств Концессионера приостановлено или стало невозможным, Концессионер не несет ответственность за н</w:t>
      </w:r>
      <w:r>
        <w:rPr>
          <w:color w:val="auto"/>
          <w:szCs w:val="24"/>
        </w:rPr>
        <w:t xml:space="preserve">енадлежащее исполнение или неисполнение соответствующего обязательства. При этом, в случае, когда исполнение обязательства приостановлено, срок, предусмотренный для его исполнения, продлевается соразмерно периоду приостановления исполнения обязательства. 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Если в результате указанного выше приостановления исполнения обязательства и в связи с этим продления срока его исполнения, сро</w:t>
      </w:r>
      <w:r>
        <w:rPr>
          <w:color w:val="auto"/>
          <w:szCs w:val="24"/>
        </w:rPr>
        <w:t xml:space="preserve">к окончания исполнения обязательства выпадает на дату после окончания действия концессионного соглашения, Концессионер также не несет ответственность за то, что не исполнил соответствующее обязательство в течение срока действия концессионного соглашения.  </w:t>
      </w:r>
      <w:r>
        <w:rPr>
          <w:color w:val="auto"/>
        </w:rPr>
      </w:r>
    </w:p>
    <w:p>
      <w:pPr>
        <w:numPr>
          <w:ilvl w:val="1"/>
          <w:numId w:val="8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13.10. </w:t>
      </w:r>
      <w:r>
        <w:rPr>
          <w:color w:val="auto"/>
          <w:szCs w:val="24"/>
        </w:rPr>
        <w:t xml:space="preserve">В</w:t>
      </w:r>
      <w:r>
        <w:rPr>
          <w:color w:val="auto"/>
          <w:szCs w:val="24"/>
        </w:rPr>
        <w:t xml:space="preserve">озмещение Сторонами настоящего Соглашения убытков и уплата неустойки в случае неисполнения или ненадлежащего исполнения обязательств, предусмотренных настоящим Соглашением, не освобождают соответствующую Сторону от исполнения этого обязательства в натуре. </w:t>
      </w:r>
      <w:r>
        <w:rPr>
          <w:color w:val="auto"/>
        </w:rPr>
      </w:r>
    </w:p>
    <w:p>
      <w:pPr>
        <w:numPr>
          <w:ilvl w:val="1"/>
          <w:numId w:val="8"/>
        </w:numPr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13.11. </w:t>
      </w:r>
      <w:r>
        <w:rPr>
          <w:color w:val="auto"/>
          <w:szCs w:val="24"/>
        </w:rPr>
        <w:t xml:space="preserve">Сторона, не исполнившая или исполнившая ненадлежащим образом свои обязательства, предусмотренные настоящим Согла</w:t>
      </w:r>
      <w:r>
        <w:rPr>
          <w:color w:val="auto"/>
          <w:szCs w:val="24"/>
        </w:rPr>
        <w:t xml:space="preserve">шением, несет ответственность, предусмотренную законодательством Российской Федерации и настоящим Соглашением, если не докажет, что надлежащее исполнение указанных обязательств оказалось невозможным вследствие наступления обстоятельств непреодолимой силы.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14. Порядок взаимодействия Сторон при наступлении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обстоятельств непреодолимой силы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14.1. </w:t>
      </w:r>
      <w:r>
        <w:rPr>
          <w:color w:val="auto"/>
          <w:szCs w:val="24"/>
        </w:rPr>
        <w:t xml:space="preserve">Сторона, нарушившая условия настоящего Соглашения в результате наступления обстоятельств непреодолимой силы, обязана: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а) в письменной форме уведомить другую Сторону о наступлении указанных обстоятельств не позднее 5 (пяти) календарных дней со дня их наступления и представить необходимые документальные подтверждения;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б) в письменной форме уведомить другую Сторону о возобновлении исполнения своих обязательств, предусмотренных настоящим Соглашением.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14.2. </w:t>
      </w:r>
      <w:r>
        <w:rPr>
          <w:color w:val="auto"/>
          <w:szCs w:val="24"/>
        </w:rPr>
        <w:t xml:space="preserve">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</w:t>
      </w:r>
      <w:r>
        <w:rPr>
          <w:color w:val="auto"/>
          <w:szCs w:val="24"/>
        </w:rPr>
        <w:t xml:space="preserve">длежащему исполнению обязательств, предусмотренных настоящим Соглашением, а также до устранения этих последствий предпринять меры, направленные на обеспечение надлежащего осуществления Концессионером деятельности, указанной в п. 1.1 настоящего Соглашения.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15.  Изменение Соглашения </w:t>
      </w:r>
      <w:r>
        <w:rPr>
          <w:color w:val="auto"/>
        </w:rPr>
      </w:r>
    </w:p>
    <w:p>
      <w:pPr>
        <w:ind w:left="708" w:firstLine="0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15.1. Настоящее Соглашение может быть изменено по соглашению его Сторон.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Изменение настоящего Соглашения осуществляется в письменной форме путем составления документа, подписанного Сторонами, и являющегося Приложением к настоящему Соглашению.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В целях внесения изменений в условия настоящего Соглашения одна из Сторон направляет другим Сторонам соответствующее предложение с обоснованием предлагаемых изменений. Сторона, получившая предложение об изменении условий Соглашения, в течение 30 </w:t>
      </w:r>
      <w:r>
        <w:rPr>
          <w:color w:val="auto"/>
          <w:szCs w:val="24"/>
        </w:rPr>
        <w:t xml:space="preserve">(тридцати) календарных дней со дня получения указанного предложения рассматривает его и принимает решение о согласии или об отказе внести изменения в условия настоящего Соглашения с указанием причин отказа.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15.2. Изменение условий насто</w:t>
      </w:r>
      <w:r>
        <w:rPr>
          <w:color w:val="auto"/>
          <w:szCs w:val="24"/>
        </w:rPr>
        <w:t xml:space="preserve">ящего Соглашения осуществляется с согласия антимонопольного органа, полученного в порядке и на условиях, установленных Правительством Российской Федерации, за исключением замены лица по концессионному соглашению в порядке, установленном законодательством.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15.3. Изменение значений долгосрочных параметров регулирования деятельности Концессионера, указанных в Приложении № 5 к настоящему Соглашению, осуществляется по предварительному согласованию с орг</w:t>
      </w:r>
      <w:r>
        <w:rPr>
          <w:color w:val="auto"/>
          <w:szCs w:val="24"/>
        </w:rPr>
        <w:t xml:space="preserve">аном исполнительной власти или органом местного самоуправления, осуществляющих регулирование цен (тарифов) в соответствии с законодательством Российской Федерации в сфере регулирования цен (тарифов), получаемому в порядке, установленном законодательством.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15.4. Изменение условий настоящего Соглашения в случае, если в течение срока реализации концессионного соглашения выявлены тех</w:t>
      </w:r>
      <w:r>
        <w:rPr>
          <w:color w:val="auto"/>
          <w:szCs w:val="24"/>
        </w:rPr>
        <w:t xml:space="preserve">нологически и функционально связанные с Объектом Соглашения бесхозяйные объекты теплоснабжения, являющиеся частью относящихся к Объекту Соглашения систем теплоснабжения, возможно при условиях и в порядке, предусмотренных ФЗ «О концессионных соглашениях». 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15.5. Настоящее Соглашение может быть изменено по требованию одной из Сторон решением суда по основаниям, предусмотренным Гражданским </w:t>
      </w:r>
      <w:hyperlink r:id="rId22" w:tooltip="consultantplus://offline/ref=5C5690BFE28E4BBB4867DFB77C80C974757E671DF000E3F2DA35A67404OBGAF" w:history="1">
        <w:r>
          <w:rPr>
            <w:color w:val="auto"/>
            <w:szCs w:val="24"/>
          </w:rPr>
          <w:t xml:space="preserve">кодексом </w:t>
        </w:r>
      </w:hyperlink>
      <w:r>
        <w:rPr>
          <w:color w:val="auto"/>
          <w:szCs w:val="24"/>
        </w:rPr>
        <w:t xml:space="preserve">Российской Федерации.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16. Прекращение Соглашения </w:t>
      </w:r>
      <w:r>
        <w:rPr>
          <w:color w:val="auto"/>
        </w:rPr>
      </w:r>
    </w:p>
    <w:p>
      <w:pPr>
        <w:ind w:left="708" w:firstLine="0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16.1. Настоящее Соглашение прекращается: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tabs>
          <w:tab w:val="center" w:pos="801" w:leader="none"/>
          <w:tab w:val="center" w:pos="2940" w:leader="none"/>
        </w:tabs>
        <w:rPr>
          <w:color w:val="auto"/>
          <w:szCs w:val="24"/>
        </w:rPr>
      </w:pPr>
      <w:r>
        <w:rPr>
          <w:rFonts w:eastAsia="Calibri"/>
          <w:color w:val="auto"/>
          <w:szCs w:val="24"/>
        </w:rPr>
        <w:tab/>
      </w:r>
      <w:r>
        <w:rPr>
          <w:color w:val="auto"/>
          <w:szCs w:val="24"/>
        </w:rPr>
        <w:t xml:space="preserve">а)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по истечении срока действия;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tabs>
          <w:tab w:val="center" w:pos="809" w:leader="none"/>
          <w:tab w:val="center" w:pos="2651" w:leader="none"/>
        </w:tabs>
        <w:rPr>
          <w:color w:val="auto"/>
          <w:szCs w:val="24"/>
        </w:rPr>
      </w:pPr>
      <w:r>
        <w:rPr>
          <w:rFonts w:eastAsia="Calibri"/>
          <w:color w:val="auto"/>
          <w:szCs w:val="24"/>
        </w:rPr>
        <w:tab/>
      </w:r>
      <w:r>
        <w:rPr>
          <w:color w:val="auto"/>
          <w:szCs w:val="24"/>
        </w:rPr>
        <w:t xml:space="preserve">б)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по соглашению Сторон;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tabs>
          <w:tab w:val="center" w:pos="804" w:leader="none"/>
          <w:tab w:val="center" w:pos="4725" w:leader="none"/>
        </w:tabs>
        <w:rPr>
          <w:color w:val="auto"/>
          <w:szCs w:val="24"/>
        </w:rPr>
      </w:pPr>
      <w:r>
        <w:rPr>
          <w:rFonts w:eastAsia="Calibri"/>
          <w:color w:val="auto"/>
          <w:szCs w:val="24"/>
        </w:rPr>
        <w:tab/>
      </w:r>
      <w:r>
        <w:rPr>
          <w:color w:val="auto"/>
          <w:szCs w:val="24"/>
        </w:rPr>
        <w:t xml:space="preserve">в)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на основании судебного решения о его досрочном расторжении;</w:t>
      </w:r>
      <w:r>
        <w:rPr>
          <w:color w:val="auto"/>
        </w:rPr>
      </w:r>
    </w:p>
    <w:p>
      <w:pPr>
        <w:ind w:left="0" w:firstLine="708"/>
        <w:spacing w:after="0" w:line="240" w:lineRule="auto"/>
        <w:widowControl w:val="off"/>
        <w:tabs>
          <w:tab w:val="center" w:pos="804" w:leader="none"/>
          <w:tab w:val="center" w:pos="4725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г) в предусмотренном концессионным соглашением случае его досрочное расторжение на основании решения Правительства Российской Федерации или уп</w:t>
      </w:r>
      <w:r>
        <w:rPr>
          <w:color w:val="auto"/>
          <w:szCs w:val="24"/>
        </w:rPr>
        <w:t xml:space="preserve">олномоченного им органа местного самоуправления, если неисполнение или ненадлежащее исполнение концессионером обязательств по концессионному соглашению повлекло за собой причинение вреда жизни или здоровью людей либо имеется угроза причинения такого вреда.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16.2. Настоящее Соглашение может быть расторгнуто досрочно на основании решения суда по требованию одной из Сторон в </w:t>
      </w:r>
      <w:r>
        <w:rPr>
          <w:color w:val="auto"/>
          <w:szCs w:val="24"/>
        </w:rPr>
        <w:t xml:space="preserve">случае существенного нарушения другой Стороной условий настоящего Соглашения, существенного изменения обстоятельств, из которых Стороны исходили при его заключении, а также по иным основаниям, предусмотренным федеральными законами и настоящим Соглашением.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16.3. К существенным нарушениям Концессионером условий настоящего Соглашения относятся: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tabs>
          <w:tab w:val="center" w:pos="801" w:leader="none"/>
          <w:tab w:val="right" w:pos="9361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а) </w:t>
      </w:r>
      <w:r>
        <w:rPr>
          <w:color w:val="auto"/>
          <w:szCs w:val="24"/>
        </w:rPr>
        <w:t xml:space="preserve">нарушение сроков реконструкции Объекта Соглашения по вине Концессионера;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tabs>
          <w:tab w:val="center" w:pos="809" w:leader="none"/>
          <w:tab w:val="center" w:pos="2172" w:leader="none"/>
          <w:tab w:val="center" w:pos="3993" w:leader="none"/>
          <w:tab w:val="center" w:pos="5485" w:leader="none"/>
          <w:tab w:val="center" w:pos="6843" w:leader="none"/>
          <w:tab w:val="center" w:pos="7827" w:leader="none"/>
          <w:tab w:val="center" w:pos="8501" w:leader="none"/>
          <w:tab w:val="right" w:pos="9361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б) </w:t>
      </w:r>
      <w:r>
        <w:rPr>
          <w:color w:val="auto"/>
          <w:szCs w:val="24"/>
        </w:rPr>
        <w:t xml:space="preserve">использование</w:t>
      </w:r>
      <w:r>
        <w:rPr>
          <w:color w:val="auto"/>
          <w:szCs w:val="24"/>
        </w:rPr>
        <w:t xml:space="preserve"> (эксплуатация) </w:t>
      </w:r>
      <w:r>
        <w:rPr>
          <w:color w:val="auto"/>
          <w:szCs w:val="24"/>
        </w:rPr>
        <w:tab/>
        <w:t xml:space="preserve">Объекта Соглашения в целях, </w:t>
      </w:r>
      <w:r>
        <w:rPr>
          <w:color w:val="auto"/>
          <w:szCs w:val="24"/>
        </w:rPr>
        <w:t xml:space="preserve">не установленных настоящим Соглашением;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tabs>
          <w:tab w:val="center" w:pos="804" w:leader="none"/>
          <w:tab w:val="right" w:pos="9361" w:leader="none"/>
        </w:tabs>
        <w:rPr>
          <w:color w:val="auto"/>
          <w:szCs w:val="24"/>
        </w:rPr>
      </w:pPr>
      <w:r>
        <w:rPr>
          <w:color w:val="auto"/>
          <w:szCs w:val="24"/>
        </w:rPr>
        <w:t xml:space="preserve">в) </w:t>
      </w:r>
      <w:r>
        <w:rPr>
          <w:color w:val="auto"/>
          <w:szCs w:val="24"/>
        </w:rPr>
        <w:t xml:space="preserve">нарушение установленного настоящим Соглашением порядка владения, пользования и распоряжения имуществом, входящим в состав Объекта Соглашения;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г) неисполнение или ненадлежащее исполнение Концессионером обязательств, по </w:t>
      </w:r>
      <w:r>
        <w:rPr>
          <w:color w:val="auto"/>
          <w:szCs w:val="24"/>
        </w:rPr>
        <w:t xml:space="preserve">осуществлению деятельности, предусмотренной п. 1.1 настоящего Соглашения, приводящее к причинению значительного ущерба Концеденту;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д) прекращение или приостановление Концессионером деятельности, предусмотренной настоящим Соглашением, без согласия Концедента, за исключением предусмотренных законом и настоящим Соглашением случаев, по вине Концессионера;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tabs>
          <w:tab w:val="center" w:pos="801" w:leader="none"/>
          <w:tab w:val="right" w:pos="9361" w:leader="none"/>
        </w:tabs>
        <w:rPr>
          <w:color w:val="auto"/>
          <w:szCs w:val="24"/>
        </w:rPr>
      </w:pPr>
      <w:r>
        <w:rPr>
          <w:rFonts w:eastAsia="Calibri"/>
          <w:color w:val="auto"/>
          <w:szCs w:val="24"/>
        </w:rPr>
        <w:tab/>
      </w:r>
      <w:r>
        <w:rPr>
          <w:color w:val="auto"/>
          <w:szCs w:val="24"/>
        </w:rPr>
        <w:t xml:space="preserve">е) </w:t>
      </w:r>
      <w:r>
        <w:rPr>
          <w:color w:val="auto"/>
          <w:szCs w:val="24"/>
        </w:rPr>
        <w:t xml:space="preserve">неисполнение или ненадлежащее исполнение Концессионером установленных </w:t>
      </w:r>
      <w:r>
        <w:rPr>
          <w:color w:val="auto"/>
          <w:szCs w:val="24"/>
        </w:rPr>
        <w:t xml:space="preserve">настоящим</w:t>
      </w:r>
      <w:r>
        <w:rPr>
          <w:color w:val="auto"/>
          <w:szCs w:val="24"/>
        </w:rPr>
        <w:t xml:space="preserve"> Соглашения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обязательств по предоставлению гражданам и другим потребителям услуг по теплоэнергоснабжению.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16.4. К существенным нарушениям Концедентом условий настоящего Соглашения относятся: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а) невыполнение в срок, установленный в п. 10.3 настоящего Соглашения, обязанности по передаче Концессионеру Объекта Соглашения (объектов, входящих в состав Объекта Соглашения);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б) передача Концессионеру объекта Соглашения по описанию, в том числе технико-экономическим показателям, не соответству</w:t>
      </w:r>
      <w:r>
        <w:rPr>
          <w:color w:val="auto"/>
          <w:szCs w:val="24"/>
        </w:rPr>
        <w:t xml:space="preserve">ющем условиям настоящего Соглашения, в случае, если такое несоответствие выявлено в течение одного года с момента подписания сторонами Соглашения актов приема-передачи и не могло быть выявлено при передаче объекта Соглашения и возникло по вине Концедента; </w:t>
      </w:r>
      <w:r>
        <w:rPr>
          <w:color w:val="auto"/>
        </w:rPr>
      </w:r>
    </w:p>
    <w:p>
      <w:pPr>
        <w:ind w:left="0" w:firstLine="709"/>
        <w:spacing w:after="0" w:line="240" w:lineRule="auto"/>
        <w:widowControl w:val="off"/>
        <w:tabs>
          <w:tab w:val="center" w:pos="804" w:leader="none"/>
          <w:tab w:val="right" w:pos="9361" w:leader="none"/>
        </w:tabs>
        <w:rPr>
          <w:color w:val="auto"/>
          <w:szCs w:val="24"/>
        </w:rPr>
      </w:pPr>
      <w:r>
        <w:rPr>
          <w:rFonts w:eastAsia="Calibri"/>
          <w:color w:val="auto"/>
          <w:szCs w:val="24"/>
        </w:rPr>
        <w:tab/>
      </w:r>
      <w:r>
        <w:rPr>
          <w:color w:val="auto"/>
          <w:szCs w:val="24"/>
        </w:rPr>
        <w:t xml:space="preserve">в)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неисполнение или ненадлежащее исполнение Концедентом обязательств, установленных в п. 5.1 настоящего Соглашения.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17. Гарантии осуществления Концессионером деятельности, предусмотренной Соглашением 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17.1. В соответствии с законодательством в области ценообразования в сфере теплоснабжени</w:t>
      </w:r>
      <w:r>
        <w:rPr>
          <w:color w:val="auto"/>
          <w:szCs w:val="24"/>
        </w:rPr>
        <w:t xml:space="preserve">я орган исполнительной власти, осуществляющий регулирование цен (тарифов), устанавливает цены (тарифы) на реализуемые и оказываемые Концессионером товары и услуги, которые действующим законодательством в области ценообразования определены как регулируемые.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17.1.1. Концедент, по требованию Концессионера, обязан принять меры, обеспечивающие окупаемость инвестиций Концессионера и получение им валовой выручки </w:t>
      </w:r>
      <w:r>
        <w:rPr>
          <w:color w:val="auto"/>
          <w:szCs w:val="24"/>
        </w:rPr>
        <w:t xml:space="preserve">(дохода </w:t>
      </w:r>
      <w:r>
        <w:rPr>
          <w:color w:val="auto"/>
          <w:szCs w:val="24"/>
        </w:rPr>
        <w:t xml:space="preserve">от оказания услуг по регулируемым ценам (тарифам) в объеме не менее объема, изначально определенного концессионным соглашением: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в случае если принятые федеральные законы и (или) иные нормативные правовые акты Российской Федерации, субъектов Российской Федерации, органов местного самоуправления приводят к увеличению совокупной налоговой нагрузки на Концессио</w:t>
      </w:r>
      <w:r>
        <w:rPr>
          <w:color w:val="auto"/>
          <w:szCs w:val="24"/>
        </w:rPr>
        <w:t xml:space="preserve">нера или ухудшению положения Концессионера таким образом, что он в значительной степени лишается того, на что был вправе рассчитывать при заключении концессионного соглашения, в том числе устанавливают режим запретов и ограничений в отношении Концессионера</w:t>
      </w:r>
      <w:r>
        <w:rPr>
          <w:color w:val="auto"/>
          <w:szCs w:val="24"/>
        </w:rPr>
        <w:t xml:space="preserve">, </w:t>
      </w:r>
      <w:r>
        <w:rPr>
          <w:color w:val="auto"/>
          <w:szCs w:val="24"/>
        </w:rPr>
        <w:t xml:space="preserve">ухудшающих его положение</w:t>
      </w:r>
      <w:r>
        <w:rPr>
          <w:color w:val="auto"/>
          <w:szCs w:val="24"/>
        </w:rPr>
        <w:t xml:space="preserve"> по сравнению с режимом, действовавшем в соответствии с нормативными правовыми актами Российской Федерации, субъектов Российской Федерации, органов местного самоуправления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в результате установления регулирующим органом тарифов на теплоснабжение ниже уровня регулируемых в установленном порядке тарифов для ресурсоснабжающей организации (Концессионера), в т.ч. тарифа для населения;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в результате формирования по итогам финансового (календарного) года затрат на энергоресурсы, выше предусмотренных установленным тарифами на теплоснабжение на соответствующий период регулирования;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- в результате формирования по итогам финансового (календарного) года объема теплоснабжения ниже предусмотренного установленным тарифом на соответствующий период регулирования.</w:t>
      </w:r>
      <w:r>
        <w:rPr>
          <w:color w:val="auto"/>
        </w:rPr>
      </w:r>
    </w:p>
    <w:p>
      <w:pPr>
        <w:ind w:left="0" w:firstLine="720"/>
        <w:spacing w:after="0" w:line="240" w:lineRule="auto"/>
        <w:widowControl w:val="off"/>
        <w:rPr>
          <w:rFonts w:eastAsiaTheme="minorEastAsia"/>
          <w:color w:val="auto"/>
          <w:szCs w:val="24"/>
        </w:rPr>
      </w:pPr>
      <w:r>
        <w:rPr>
          <w:rFonts w:eastAsiaTheme="minorEastAsia"/>
          <w:color w:val="auto"/>
          <w:szCs w:val="24"/>
        </w:rPr>
        <w:t xml:space="preserve">В качестве мер, обеспеч</w:t>
      </w:r>
      <w:r>
        <w:rPr>
          <w:rFonts w:eastAsiaTheme="minorEastAsia"/>
          <w:color w:val="auto"/>
          <w:szCs w:val="24"/>
        </w:rPr>
        <w:t xml:space="preserve">ивающих окупаемость инвестиций К</w:t>
      </w:r>
      <w:r>
        <w:rPr>
          <w:rFonts w:eastAsiaTheme="minorEastAsia"/>
          <w:color w:val="auto"/>
          <w:szCs w:val="24"/>
        </w:rPr>
        <w:t xml:space="preserve">онцессионера и получение им валовой выручки (дохода от оказания услуг по регулируемым ценам (тарифам) в объеме не менее объема, изначально определенно</w:t>
      </w:r>
      <w:r>
        <w:rPr>
          <w:rFonts w:eastAsiaTheme="minorEastAsia"/>
          <w:color w:val="auto"/>
          <w:szCs w:val="24"/>
        </w:rPr>
        <w:t xml:space="preserve">го концессионным соглашением, К</w:t>
      </w:r>
      <w:r>
        <w:rPr>
          <w:rFonts w:eastAsiaTheme="minorEastAsia"/>
          <w:color w:val="auto"/>
          <w:szCs w:val="24"/>
        </w:rPr>
        <w:t xml:space="preserve">онцедент вправе продлить срок действия концес</w:t>
      </w:r>
      <w:r>
        <w:rPr>
          <w:rFonts w:eastAsiaTheme="minorEastAsia"/>
          <w:color w:val="auto"/>
          <w:szCs w:val="24"/>
        </w:rPr>
        <w:t xml:space="preserve">сионного соглашения с согласия К</w:t>
      </w:r>
      <w:r>
        <w:rPr>
          <w:rFonts w:eastAsiaTheme="minorEastAsia"/>
          <w:color w:val="auto"/>
          <w:szCs w:val="24"/>
        </w:rPr>
        <w:t xml:space="preserve">онцессионера и (или) увелич</w:t>
      </w:r>
      <w:r>
        <w:rPr>
          <w:rFonts w:eastAsiaTheme="minorEastAsia"/>
          <w:color w:val="auto"/>
          <w:szCs w:val="24"/>
        </w:rPr>
        <w:t xml:space="preserve">ить размер </w:t>
      </w:r>
      <w:r>
        <w:rPr>
          <w:rFonts w:eastAsiaTheme="minorEastAsia"/>
          <w:color w:val="auto"/>
          <w:szCs w:val="24"/>
        </w:rPr>
        <w:t xml:space="preserve">финансового участия К</w:t>
      </w:r>
      <w:r>
        <w:rPr>
          <w:rFonts w:eastAsiaTheme="minorEastAsia"/>
          <w:color w:val="auto"/>
          <w:szCs w:val="24"/>
        </w:rPr>
        <w:t xml:space="preserve">о</w:t>
      </w:r>
      <w:r>
        <w:rPr>
          <w:rFonts w:eastAsiaTheme="minorEastAsia"/>
          <w:color w:val="auto"/>
          <w:szCs w:val="24"/>
        </w:rPr>
        <w:t xml:space="preserve">нцедента, а также предоставить К</w:t>
      </w:r>
      <w:r>
        <w:rPr>
          <w:rFonts w:eastAsiaTheme="minorEastAsia"/>
          <w:color w:val="auto"/>
          <w:szCs w:val="24"/>
        </w:rPr>
        <w:t xml:space="preserve">онцессионеру дополнительные муниципальные гарантии.</w:t>
      </w:r>
      <w:r>
        <w:rPr>
          <w:rFonts w:eastAsiaTheme="minorEastAsia"/>
          <w:color w:val="auto"/>
          <w:szCs w:val="24"/>
        </w:rPr>
        <w:t xml:space="preserve"> </w:t>
      </w:r>
      <w:r>
        <w:rPr>
          <w:rFonts w:eastAsiaTheme="minorEastAsia"/>
          <w:color w:val="auto"/>
          <w:szCs w:val="24"/>
        </w:rPr>
        <w:t xml:space="preserve">Требования к качеству и потребительским свойствам объекта концессионного соглашения изменению не подлежат. Предусмотренные положениями</w:t>
      </w:r>
      <w:r>
        <w:rPr>
          <w:rFonts w:eastAsiaTheme="minorEastAsia"/>
          <w:color w:val="auto"/>
          <w:szCs w:val="24"/>
        </w:rPr>
        <w:t xml:space="preserve"> настоящего пункта обязательства К</w:t>
      </w:r>
      <w:r>
        <w:rPr>
          <w:rFonts w:eastAsiaTheme="minorEastAsia"/>
          <w:color w:val="auto"/>
          <w:szCs w:val="24"/>
        </w:rPr>
        <w:t xml:space="preserve">онцедента по принятию</w:t>
      </w:r>
      <w:r>
        <w:rPr>
          <w:rFonts w:eastAsiaTheme="minorEastAsia"/>
          <w:color w:val="auto"/>
          <w:szCs w:val="24"/>
        </w:rPr>
        <w:t xml:space="preserve"> мер, обеспечивающих получение К</w:t>
      </w:r>
      <w:r>
        <w:rPr>
          <w:rFonts w:eastAsiaTheme="minorEastAsia"/>
          <w:color w:val="auto"/>
          <w:szCs w:val="24"/>
        </w:rPr>
        <w:t xml:space="preserve">онцессионером валовой выручки (дохода от оказания услуг по регулируемым ценам (тарифам), не распространяются на случаи изменени</w:t>
      </w:r>
      <w:r>
        <w:rPr>
          <w:rFonts w:eastAsiaTheme="minorEastAsia"/>
          <w:color w:val="auto"/>
          <w:szCs w:val="24"/>
        </w:rPr>
        <w:t xml:space="preserve">я, корректировки цен (тарифов) Концессионера за недостижение К</w:t>
      </w:r>
      <w:r>
        <w:rPr>
          <w:rFonts w:eastAsiaTheme="minorEastAsia"/>
          <w:color w:val="auto"/>
          <w:szCs w:val="24"/>
        </w:rPr>
        <w:t xml:space="preserve">онцессионером установленных концессионным соглашением плановых значений показателей надежности и энергетической эффективност</w:t>
      </w:r>
      <w:r>
        <w:rPr>
          <w:rFonts w:eastAsiaTheme="minorEastAsia"/>
          <w:color w:val="auto"/>
          <w:szCs w:val="24"/>
        </w:rPr>
        <w:t xml:space="preserve">и объектов теплоснабжения</w:t>
      </w:r>
      <w:r>
        <w:rPr>
          <w:rFonts w:eastAsiaTheme="minorEastAsia"/>
          <w:color w:val="auto"/>
          <w:szCs w:val="24"/>
        </w:rPr>
        <w:t xml:space="preserve">. 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17.2 Возмещение затрат Концессионеру по окончании финансового (календарного) года осуществляется в соответствии с нормативными правовыми актами, принятыми на территории Костромской облас</w:t>
      </w:r>
      <w:r>
        <w:rPr>
          <w:color w:val="auto"/>
          <w:szCs w:val="24"/>
        </w:rPr>
        <w:t xml:space="preserve">ти, на соответствующий период, иными действующими нормативными правовыми актами, принятыми на период возврата инвестиций в рамках концессионного соглашения на основании представленных документов и расчетов, подтверждающих понесенные Концессионером затраты.</w:t>
      </w:r>
      <w:r>
        <w:rPr>
          <w:color w:val="auto"/>
        </w:rPr>
      </w:r>
    </w:p>
    <w:p>
      <w:pPr>
        <w:ind w:firstLine="709"/>
        <w:spacing w:after="0" w:line="240" w:lineRule="auto"/>
        <w:widowControl w:val="off"/>
        <w:rPr>
          <w:bCs/>
          <w:color w:val="auto"/>
          <w:szCs w:val="24"/>
        </w:rPr>
      </w:pPr>
      <w:r>
        <w:rPr>
          <w:bCs/>
          <w:color w:val="auto"/>
          <w:szCs w:val="24"/>
        </w:rPr>
        <w:t xml:space="preserve">17.</w:t>
      </w:r>
      <w:r>
        <w:rPr>
          <w:bCs/>
          <w:color w:val="auto"/>
          <w:szCs w:val="24"/>
        </w:rPr>
        <w:t xml:space="preserve">3</w:t>
      </w:r>
      <w:r>
        <w:rPr>
          <w:bCs/>
          <w:color w:val="auto"/>
          <w:szCs w:val="24"/>
        </w:rPr>
        <w:t xml:space="preserve">. В случае если в течение срока действия Соглашения, регулируемые цены (тарифы), надбавки к ценам (тарифам) устанав</w:t>
      </w:r>
      <w:r>
        <w:rPr>
          <w:bCs/>
          <w:color w:val="auto"/>
          <w:szCs w:val="24"/>
        </w:rPr>
        <w:t xml:space="preserve">ливаются с применением долгосрочных параметров регулирования деятельности Концессионера, которые не соответствуют таким параметрам, предусмотренным настоящим Соглашением, условия этого настоящего Соглашения должны быть изменены по требованию Концессионера.</w:t>
      </w:r>
      <w:r>
        <w:rPr>
          <w:color w:val="auto"/>
        </w:rPr>
      </w:r>
    </w:p>
    <w:p>
      <w:pPr>
        <w:ind w:firstLine="709"/>
        <w:spacing w:after="0" w:line="240" w:lineRule="auto"/>
        <w:widowControl w:val="off"/>
        <w:rPr>
          <w:bCs/>
          <w:color w:val="auto"/>
          <w:szCs w:val="24"/>
        </w:rPr>
      </w:pPr>
      <w:r>
        <w:rPr>
          <w:bCs/>
          <w:color w:val="auto"/>
          <w:szCs w:val="24"/>
        </w:rPr>
        <w:t xml:space="preserve">17.</w:t>
      </w:r>
      <w:r>
        <w:rPr>
          <w:bCs/>
          <w:color w:val="auto"/>
          <w:szCs w:val="24"/>
        </w:rPr>
        <w:t xml:space="preserve">4</w:t>
      </w:r>
      <w:r>
        <w:rPr>
          <w:bCs/>
          <w:color w:val="auto"/>
          <w:szCs w:val="24"/>
        </w:rPr>
        <w:t xml:space="preserve">. Установление, изменение, корректировка регулируемых цен (тарифов) на производимые и реализуемые Концессионером товары, оказываемые услуги по теплоснабжению осуществляются по правилам, действовавшим на момент заключения настоящего Соглашения и</w:t>
      </w:r>
      <w:r>
        <w:rPr>
          <w:bCs/>
          <w:color w:val="auto"/>
          <w:szCs w:val="24"/>
        </w:rPr>
        <w:t xml:space="preserve"> предусмотренным федеральными законами, иными нормативными правовыми актами Российской Федерации, законами субъектов Российской Федерации, иными нормативными правовыми актами субъектов Российской Федерации, правовыми актами органов местного самоуправления.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bCs/>
          <w:color w:val="auto"/>
          <w:szCs w:val="24"/>
        </w:rPr>
        <w:t xml:space="preserve">17.</w:t>
      </w:r>
      <w:r>
        <w:rPr>
          <w:bCs/>
          <w:color w:val="auto"/>
          <w:szCs w:val="24"/>
        </w:rPr>
        <w:t xml:space="preserve">5</w:t>
      </w:r>
      <w:r>
        <w:rPr>
          <w:bCs/>
          <w:color w:val="auto"/>
          <w:szCs w:val="24"/>
        </w:rPr>
        <w:t xml:space="preserve">. По согласованию с органом исполнительной власти, осуществляющими регулирование цен (тарифов) в соответствии с за</w:t>
      </w:r>
      <w:r>
        <w:rPr>
          <w:bCs/>
          <w:color w:val="auto"/>
          <w:szCs w:val="24"/>
        </w:rPr>
        <w:t xml:space="preserve">конодательством Российской Федерации в сфере регулирования цен (тарифов), установление, изменение, корректировка регулируемых цен (тарифов) на производимые и реализуемые Концессионером товары, оказываемые услуги осуществляются до конца срока действия насто</w:t>
      </w:r>
      <w:r>
        <w:rPr>
          <w:bCs/>
          <w:color w:val="auto"/>
          <w:szCs w:val="24"/>
        </w:rPr>
        <w:t xml:space="preserve">ящего Соглашения по правилам, действующим на момент соответственно установления, изменения, корректировки цен (тарифов) и предусмотренным федеральными законами, иными нормативными правовыми актами Российской Федерации, законами субъектов Российской Федерац</w:t>
      </w:r>
      <w:r>
        <w:rPr>
          <w:bCs/>
          <w:color w:val="auto"/>
          <w:szCs w:val="24"/>
        </w:rPr>
        <w:t xml:space="preserve">ии, иными нормативными правовыми актами субъектов Российской Федерации, правовыми актами органов местного самоуправления. Порядок указанного согласования и его критерии определяются нормативными правовыми актами Российской Федерации в сфере теплоснабжения.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18. Порядок возмещения расходов сторон</w:t>
      </w:r>
      <w:r>
        <w:rPr>
          <w:color w:val="auto"/>
          <w:szCs w:val="24"/>
        </w:rPr>
        <w:t xml:space="preserve">, </w:t>
      </w:r>
      <w:r>
        <w:rPr>
          <w:color w:val="auto"/>
          <w:szCs w:val="24"/>
        </w:rPr>
        <w:t xml:space="preserve">в том числе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 в случае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досрочного расторжения Соглашения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</w:t>
      </w:r>
      <w:r>
        <w:rPr>
          <w:color w:val="auto"/>
          <w:szCs w:val="24"/>
        </w:rPr>
        <w:t xml:space="preserve">.1</w:t>
      </w:r>
      <w:r>
        <w:rPr>
          <w:color w:val="auto"/>
          <w:szCs w:val="24"/>
        </w:rPr>
        <w:t xml:space="preserve">. В случае прекращения действия настоящего Соглашения по истечению срока действия или по любому основанию, предусмотренному действующим законодательством, при отсутствии возврата вложенных инвестиций в полном объёме в период действия сог</w:t>
      </w:r>
      <w:r>
        <w:rPr>
          <w:color w:val="auto"/>
          <w:szCs w:val="24"/>
        </w:rPr>
        <w:t xml:space="preserve">лашения, Концессионер имеет право требования от Концедента полного возмещения расходов на реконструкцию Объектов Соглашения с учетом нормы доходности на вложенный капитал, за исключением понесенных Концедентом расходов на реконструкцию Объектов Соглашения.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Срок действия настоящего Соглашения может быть продлен на период, достаточный для возмещения указанных расходов Концессионера, но не более чем на пять лет.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</w:t>
      </w:r>
      <w:r>
        <w:rPr>
          <w:color w:val="auto"/>
          <w:szCs w:val="24"/>
        </w:rPr>
        <w:t xml:space="preserve">.2</w:t>
      </w:r>
      <w:r>
        <w:rPr>
          <w:color w:val="auto"/>
          <w:szCs w:val="24"/>
        </w:rPr>
        <w:t xml:space="preserve">. Возмещение расходов Концессионера осуществляется в денежной форме исходя из размера затрат Концессионера на реконструкцию Объектов Соглашения, с учетом нормы доходности на вложенный капитал.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</w:t>
      </w:r>
      <w:r>
        <w:rPr>
          <w:color w:val="auto"/>
          <w:szCs w:val="24"/>
        </w:rPr>
        <w:t xml:space="preserve">.3</w:t>
      </w:r>
      <w:r>
        <w:rPr>
          <w:color w:val="auto"/>
          <w:szCs w:val="24"/>
        </w:rPr>
        <w:t xml:space="preserve">. Концессионер предоставляет Концеденту экономически обоснованные расчеты размера не возмещенных на момент окончания срока действия настоящего Соглашения расходов </w:t>
      </w:r>
      <w:r>
        <w:rPr>
          <w:color w:val="auto"/>
          <w:szCs w:val="24"/>
        </w:rPr>
        <w:t xml:space="preserve">с приложением подтверждающих бухгалтерских документов, а также расчет периода, на который должен быть продлен срок действия Соглашения и в течение которого будут возмещены расходы Концессионера за счет тарифов на услуги теплоснабжения.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</w:t>
      </w:r>
      <w:r>
        <w:rPr>
          <w:color w:val="auto"/>
          <w:szCs w:val="24"/>
        </w:rPr>
        <w:t xml:space="preserve">.4</w:t>
      </w:r>
      <w:r>
        <w:rPr>
          <w:color w:val="auto"/>
          <w:szCs w:val="24"/>
        </w:rPr>
        <w:t xml:space="preserve">. Концедент проверяет представленные документы на предмет достоверности и правильности расчетов и согласовывает размер расходов, подлежащих возмещению, в теч</w:t>
      </w:r>
      <w:r>
        <w:rPr>
          <w:color w:val="auto"/>
          <w:szCs w:val="24"/>
        </w:rPr>
        <w:t xml:space="preserve">ение 30 дней с момента предоставления документов. Если в процессе проверки документов Концедентом выявлены факты недостоверности информации, ошибки расчетов и прочие недостатки, документы возвращаются Концессионеру на доработку с указанием причин возврата.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</w:t>
      </w:r>
      <w:r>
        <w:rPr>
          <w:color w:val="auto"/>
          <w:szCs w:val="24"/>
        </w:rPr>
        <w:t xml:space="preserve">.5</w:t>
      </w:r>
      <w:r>
        <w:rPr>
          <w:color w:val="auto"/>
          <w:szCs w:val="24"/>
        </w:rPr>
        <w:t xml:space="preserve">. После согласования размера </w:t>
      </w:r>
      <w:r>
        <w:rPr>
          <w:color w:val="auto"/>
          <w:szCs w:val="24"/>
        </w:rPr>
        <w:t xml:space="preserve">не возмещенных на момент окончания срока действия концессионного Соглашения расходов, Концессионером и Концедентом готовятся изменения в настоящее Соглашение в части продления срока действия концессионного соглашения, которые подлежат согласованию с антимо</w:t>
      </w:r>
      <w:r>
        <w:rPr>
          <w:color w:val="auto"/>
          <w:szCs w:val="24"/>
        </w:rPr>
        <w:t xml:space="preserve">нопольным органом в соответствии</w:t>
      </w:r>
      <w:r>
        <w:rPr>
          <w:color w:val="auto"/>
          <w:szCs w:val="24"/>
        </w:rPr>
        <w:t xml:space="preserve"> с действующим законодательством.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</w:t>
      </w:r>
      <w:r>
        <w:rPr>
          <w:color w:val="auto"/>
          <w:szCs w:val="24"/>
        </w:rPr>
        <w:t xml:space="preserve">.6</w:t>
      </w:r>
      <w:r>
        <w:rPr>
          <w:color w:val="auto"/>
          <w:szCs w:val="24"/>
        </w:rPr>
        <w:t xml:space="preserve">. После согласования с антимонопольным органом изменений, Стороны подписывают дополнительное соглашение об изменении срока действия концессионного соглашения.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</w:t>
      </w:r>
      <w:r>
        <w:rPr>
          <w:color w:val="auto"/>
          <w:szCs w:val="24"/>
        </w:rPr>
        <w:t xml:space="preserve">.7</w:t>
      </w:r>
      <w:r>
        <w:rPr>
          <w:color w:val="auto"/>
          <w:szCs w:val="24"/>
        </w:rPr>
        <w:t xml:space="preserve">. Размер полученного Концессионером возмещения затрат в период эксплуатации реконструируемых Объектов Соглашения определяется как сумма амортизационных начислений по Объектам и инвестиционной составляющей, включенных в затратную составля</w:t>
      </w:r>
      <w:r>
        <w:rPr>
          <w:color w:val="auto"/>
          <w:szCs w:val="24"/>
        </w:rPr>
        <w:t xml:space="preserve">ющую при установлении экономически обоснованных тарифов на теплоснабжение с учетом фактического объема реализованной потребителям услуги (в натуральном выражении) с момента включения в тариф вышеуказанных затрат (амортизация и инвестиционная составляющая).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</w:t>
      </w:r>
      <w:r>
        <w:rPr>
          <w:color w:val="auto"/>
          <w:szCs w:val="24"/>
        </w:rPr>
        <w:t xml:space="preserve">.8</w:t>
      </w:r>
      <w:r>
        <w:rPr>
          <w:color w:val="auto"/>
          <w:szCs w:val="24"/>
        </w:rPr>
        <w:t xml:space="preserve">. Компенсационная стоимость подлежит определению уполномоченными представителями Сторон путем подписания Акта определения Компенсационной стоимости с указанием расчета по каждому из р</w:t>
      </w:r>
      <w:r>
        <w:rPr>
          <w:color w:val="auto"/>
          <w:szCs w:val="24"/>
        </w:rPr>
        <w:t xml:space="preserve">еконструируемых Объекту Соглашения. Наличие разногласий в отношении Компенсационной стоимости отдельных Объектов Соглашения не может служить основанием для приостановления расчетов между Сторонами по Компенсационной стоимости остальных Объектов Соглашения.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</w:t>
      </w:r>
      <w:r>
        <w:rPr>
          <w:color w:val="auto"/>
          <w:szCs w:val="24"/>
        </w:rPr>
        <w:t xml:space="preserve">.9</w:t>
      </w:r>
      <w:r>
        <w:rPr>
          <w:color w:val="auto"/>
          <w:szCs w:val="24"/>
        </w:rPr>
        <w:t xml:space="preserve">. Компенсационная стоимость объекта выплачивается Концедентом Концессионеру в течение календарного года, следующего за годом расторжения, до полного возмещения Компенсационной стоимости объекта.</w:t>
      </w:r>
      <w:r>
        <w:rPr>
          <w:color w:val="auto"/>
        </w:rPr>
      </w:r>
    </w:p>
    <w:p>
      <w:pPr>
        <w:ind w:firstLine="709"/>
        <w:spacing w:after="0" w:line="240" w:lineRule="auto"/>
        <w:shd w:val="clear" w:color="auto" w:fill="ffffff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18.1</w:t>
      </w:r>
      <w:r>
        <w:rPr>
          <w:color w:val="auto"/>
          <w:szCs w:val="24"/>
        </w:rPr>
        <w:t xml:space="preserve">0</w:t>
      </w:r>
      <w:r>
        <w:rPr>
          <w:color w:val="auto"/>
          <w:szCs w:val="24"/>
        </w:rPr>
        <w:t xml:space="preserve">. По соглашению Сторон возмещение расходов Концессионера на реконструк</w:t>
      </w:r>
      <w:r>
        <w:rPr>
          <w:color w:val="auto"/>
          <w:szCs w:val="24"/>
        </w:rPr>
        <w:t xml:space="preserve">цию Объекта Соглашения может быть произведено Концедентом путем передачи в собственность Концессионера имущества, принадлежащего Концеденту, в том числе, Объекта соглашения или отдельных объектов недвижимого имущества, входящих в состав Объекта Соглашения.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</w:t>
      </w:r>
      <w:r>
        <w:rPr>
          <w:color w:val="auto"/>
        </w:rPr>
        <w:t xml:space="preserve">1</w:t>
      </w:r>
      <w:r>
        <w:rPr>
          <w:color w:val="auto"/>
        </w:rPr>
        <w:t xml:space="preserve">. </w:t>
      </w:r>
      <w:r>
        <w:rPr>
          <w:color w:val="auto"/>
        </w:rPr>
        <w:t xml:space="preserve">В случае досрочного расторжения настоящего Соглашения Концедент выплачивает Концессионеру денежную компенсацию в объеме, в котором указанная компенсация не возмещена Концессионеру на момент расторжения настоящего Соглашения.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</w:t>
      </w:r>
      <w:r>
        <w:rPr>
          <w:color w:val="auto"/>
        </w:rPr>
        <w:t xml:space="preserve">2</w:t>
      </w:r>
      <w:r>
        <w:rPr>
          <w:color w:val="auto"/>
        </w:rPr>
        <w:t xml:space="preserve">.</w:t>
      </w:r>
      <w:r>
        <w:rPr>
          <w:color w:val="auto"/>
        </w:rPr>
        <w:t xml:space="preserve"> </w:t>
      </w:r>
      <w:r>
        <w:rPr>
          <w:color w:val="auto"/>
        </w:rPr>
        <w:t xml:space="preserve">При досрочном расторжении настоящего Соглашения по соглашению Сторон, денежная компенсация, выплачиваемая Концедентом Концессио</w:t>
      </w:r>
      <w:r>
        <w:rPr>
          <w:color w:val="auto"/>
        </w:rPr>
        <w:t xml:space="preserve">неру, включает в себя расходы на реконструкцию Объекта Соглашения, предусмотренные п. 5 ст. 15 Федерального закона от 21.07.2005 № 115-ФЗ «О концессионных соглашениях», не возмещенные Концессионеру на момент расторжения Соглашения в составе средств, получа</w:t>
      </w:r>
      <w:r>
        <w:rPr>
          <w:color w:val="auto"/>
        </w:rPr>
        <w:t xml:space="preserve">емых им по утвержденным тарифам.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</w:t>
      </w:r>
      <w:r>
        <w:rPr>
          <w:color w:val="auto"/>
        </w:rPr>
        <w:t xml:space="preserve">13</w:t>
      </w:r>
      <w:r>
        <w:rPr>
          <w:color w:val="auto"/>
        </w:rPr>
        <w:t xml:space="preserve">.</w:t>
      </w:r>
      <w:r>
        <w:rPr>
          <w:color w:val="auto"/>
        </w:rPr>
        <w:t xml:space="preserve">  </w:t>
      </w:r>
      <w:r>
        <w:rPr>
          <w:color w:val="auto"/>
        </w:rPr>
        <w:t xml:space="preserve">Концедент обязан выплатить Концессионеру денежную компенсацию (денежные средства), предусмотренную п.18.1</w:t>
      </w:r>
      <w:r>
        <w:rPr>
          <w:color w:val="auto"/>
        </w:rPr>
        <w:t xml:space="preserve">1</w:t>
      </w:r>
      <w:r>
        <w:rPr>
          <w:color w:val="auto"/>
        </w:rPr>
        <w:t xml:space="preserve"> настоящего Соглашения, на банковский счет, указанный Концессионером, в течение 90 (Девяносто) календарных дней с момента наступления наиболее ранней из дат: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а) дата досрочного прекращения действия настоящего Соглашения по решению суда или по соглашению Сторон;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б) дата получения Концедентом от Концессионера расчета денежной компенсации Концессионера и документов, подтверждающих такой расчет, в случае письменно выраженного согласия с полученными расчетами.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</w:t>
      </w:r>
      <w:r>
        <w:rPr>
          <w:color w:val="auto"/>
        </w:rPr>
        <w:t xml:space="preserve">14</w:t>
      </w:r>
      <w:r>
        <w:rPr>
          <w:color w:val="auto"/>
        </w:rPr>
        <w:t xml:space="preserve">.</w:t>
      </w:r>
      <w:r>
        <w:rPr>
          <w:color w:val="auto"/>
        </w:rPr>
        <w:t xml:space="preserve"> </w:t>
      </w:r>
      <w:r>
        <w:rPr>
          <w:color w:val="auto"/>
        </w:rPr>
        <w:t xml:space="preserve">Концессионер подготавливает и направляет Концеденту расчет денежной компенсации, предусмотренной п.18.1</w:t>
      </w:r>
      <w:r>
        <w:rPr>
          <w:color w:val="auto"/>
        </w:rPr>
        <w:t xml:space="preserve">1</w:t>
      </w:r>
      <w:r>
        <w:rPr>
          <w:color w:val="auto"/>
        </w:rPr>
        <w:t xml:space="preserve"> настоящего Соглашения. 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В случае, если Концедент не направит в адрес Концессионера обоснованные возражения </w:t>
      </w:r>
      <w:r>
        <w:rPr>
          <w:color w:val="auto"/>
        </w:rPr>
        <w:t xml:space="preserve">относительно представленного Кон</w:t>
      </w:r>
      <w:r>
        <w:rPr>
          <w:color w:val="auto"/>
        </w:rPr>
        <w:t xml:space="preserve">цессионером расчета денежной компенсации в течение 10 (десяти) рабочих дней с момент его получения, такой расчет денежной компенсации будет считаться утвержденным Концедентом, а сумма денежной компенсации, указанная Концессионером, считается согласованной.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18.15</w:t>
      </w:r>
      <w:r>
        <w:rPr>
          <w:color w:val="auto"/>
        </w:rPr>
        <w:t xml:space="preserve">.</w:t>
      </w:r>
      <w:r>
        <w:rPr>
          <w:color w:val="auto"/>
        </w:rPr>
        <w:t xml:space="preserve"> </w:t>
      </w:r>
      <w:r>
        <w:rPr>
          <w:color w:val="auto"/>
        </w:rPr>
        <w:t xml:space="preserve">Возмещение расходов Концессионера, подлежащих возмещению в соответствии с нормативными правовыми актами Российской Фед</w:t>
      </w:r>
      <w:r>
        <w:rPr>
          <w:color w:val="auto"/>
        </w:rPr>
        <w:t xml:space="preserve">ерации в сфере теплоснабжения и не возмещенных ему на момент окончания срока действия настоящего Соглашения, осуществляется путем продления срока действия настоящего Соглашения на период, достаточный для возмещения указанных расходов Концессионера, но не б</w:t>
      </w:r>
      <w:r>
        <w:rPr>
          <w:color w:val="auto"/>
        </w:rPr>
        <w:t xml:space="preserve">олее чем на 5 (пять лет) или при условии возмещения указанных расходов с учетом нормы доходности инвестированного капитала. Срок возмещения расходов Концессионера при условии непродления срока действия настоящего Соглашения не может превышать 2 (два) года.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18.16</w:t>
      </w:r>
      <w:r>
        <w:rPr>
          <w:color w:val="auto"/>
        </w:rPr>
        <w:t xml:space="preserve">.</w:t>
      </w:r>
      <w:r>
        <w:rPr>
          <w:color w:val="auto"/>
        </w:rPr>
        <w:t xml:space="preserve"> </w:t>
      </w:r>
      <w:r>
        <w:rPr>
          <w:color w:val="auto"/>
        </w:rPr>
        <w:t xml:space="preserve">Стороны договорились, что для целей расчета расходов на реконструкцию Объекта Соглашения, подлежащих возмещению Концессионеру </w:t>
      </w:r>
      <w:r>
        <w:rPr>
          <w:color w:val="auto"/>
        </w:rPr>
        <w:t xml:space="preserve">на момент расторжения настоящего Соглашения, Концедент и Концессионер оформляют двусторонний акт и согласовывают текст и данные, приведенные в нем, с органом исполнительной власти региона в сфере регулирования тарифов, в котором указывают следующие данные: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- сумму фактических затрат по мероприятиям на реконструкцию Объекта Соглашения в соответствии с инвестиционной программой Концессионера, произведенных на момент расторжения концессионного соглашения, в со</w:t>
      </w:r>
      <w:r>
        <w:rPr>
          <w:color w:val="auto"/>
        </w:rPr>
        <w:t xml:space="preserve">ответствии с заключением уполномоченного органа исполнительной власти региона в сфере контроля за исполнением инвестиционных программ о проверке исполнения Концессионером инвестиционной программы на момент расторжения концессионного соглашения (по вводам);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- сумму фактически понесенных Концессионером расходов на содержание кредитов, полученных на осуществление реконструкции Объекта Соглашения, на момент расторжения концессионного соглашения, в соответствии с бухгалтерской отчетностью Концессионера;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- сумму фактически уплаченных Концессионером налогов и иных обязательных платежей в связи с реконструкцией Объекта Соглашения, в соответствии с бухгалтерской и налоговой отчетностью Концессионера на момент расторжения концессионного соглашения;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- сумму фактического возмещения Концессионеру понесенных им на реконструкцию Объекта Соглашения затрат, в соответствии с бухгалтерской отчетностью Концессионера, за счет амортизационных</w:t>
      </w:r>
      <w:r>
        <w:rPr>
          <w:color w:val="auto"/>
        </w:rPr>
        <w:t xml:space="preserve"> отчислений и прибыли на инвестиции в составе тарифной выручки, собранной Концессионером на момент расторжения концессионного соглашения, с обязательным учетом фактического полезного отпуска тепловой энергии на момент расторжения концессионного соглашения;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- сумму фактического возмещения Концессионеру затрат на содержание кредитов и уплату налогов и иных обязательных платежей, связанных с реконструкцией </w:t>
      </w:r>
      <w:r>
        <w:rPr>
          <w:color w:val="auto"/>
        </w:rPr>
        <w:t xml:space="preserve">Объекта Соглашения, в соответствии с бухгалтерской и налоговой отчетностью Концессионера на момент расторжения концессионного соглашения, с обязательным учетом фактического полезного отпуска тепловой энергии на момент расторжения концессионного соглашения;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- сумму недополученного Концессионером дохода на момент расторжения концессионного соглашения.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При расторжении настоящего Соглашения Концессионер учитывает расчет, отраженный в двустороннем акте, оформленном, согласованном и подписанном в соответствии с настоящим пунктом, при расчете денежной компенсации, предусмотренной в п. 18.1</w:t>
      </w:r>
      <w:r>
        <w:rPr>
          <w:color w:val="auto"/>
        </w:rPr>
        <w:t xml:space="preserve">1</w:t>
      </w:r>
      <w:r>
        <w:rPr>
          <w:color w:val="auto"/>
        </w:rPr>
        <w:t xml:space="preserve"> настоящего Соглашения. При этом Концедент не вправе давать свои возражения относительно такого расчета денежной компенсации при его соответствии указанному двустороннему акту.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18.17</w:t>
      </w:r>
      <w:r>
        <w:rPr>
          <w:color w:val="auto"/>
        </w:rPr>
        <w:t xml:space="preserve">. Возмещение расходов Концедента, связанных с досрочным расторжением настоящего Соглашения по инициативе и (вине) Концессионера, осуществляется Концессионером в следующем порядке.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18.17</w:t>
      </w:r>
      <w:r>
        <w:rPr>
          <w:color w:val="auto"/>
        </w:rPr>
        <w:t xml:space="preserve">.1. В течение 90 календарных дней с момента досрочного расторжения нас</w:t>
      </w:r>
      <w:r>
        <w:rPr>
          <w:color w:val="auto"/>
        </w:rPr>
        <w:t xml:space="preserve">тоящего Соглашения Концедент направляет в адрес Концессионера письменную претензию о возмещении расходов с приложением первичных документов, подтверждающих фактически понесенные Концедентом в результате досрочного расторжения настоящего Соглашения расходы.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В целях признания фактически понесенных расходов экономически обоснованными, Стороны руководствуются нормативными правовыми актами Правительства Российской Федерации в сфере государственного регулирования.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18.17</w:t>
      </w:r>
      <w:r>
        <w:rPr>
          <w:color w:val="auto"/>
        </w:rPr>
        <w:t xml:space="preserve">.2. Концессионер в течение 15 (пятнадцат</w:t>
      </w:r>
      <w:r>
        <w:rPr>
          <w:color w:val="auto"/>
        </w:rPr>
        <w:t xml:space="preserve">и) рабочих дней с момента получения письменной претензии Концедента обязан принять решение о возмещении расходов Концедента, понесенных им в результате досрочного расторжения настоящего Соглашения, либо мотивированное решение об отказе в таком возмещении. 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18.17</w:t>
      </w:r>
      <w:r>
        <w:rPr>
          <w:color w:val="auto"/>
        </w:rPr>
        <w:t xml:space="preserve">.3. Возмещение расход</w:t>
      </w:r>
      <w:r>
        <w:rPr>
          <w:color w:val="auto"/>
        </w:rPr>
        <w:t xml:space="preserve">ов осуществляется за счет собственных средств Концессионера путем безналичного перечисления денежных средств на расчетный счет Концедента. Сроки возмещения расходов не могут превышать 2 (Двух) лет с момента принятия Концессионером соответствующего решения.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18.17</w:t>
      </w:r>
      <w:r>
        <w:rPr>
          <w:color w:val="auto"/>
        </w:rPr>
        <w:t xml:space="preserve">.4. В случае принятия решения об отказе в возмещении расходов Концедента и недостижения взаимного согласия в ходе совместных переговоров, разрешение споров между Сторонами осуществляется в соответствии с разделом 19 настоящего Соглашения.</w:t>
      </w:r>
      <w:r>
        <w:rPr>
          <w:color w:val="auto"/>
        </w:rPr>
      </w:r>
    </w:p>
    <w:p>
      <w:pPr>
        <w:ind w:left="6" w:firstLine="697"/>
        <w:spacing w:after="0" w:line="240" w:lineRule="auto"/>
        <w:widowControl w:val="off"/>
        <w:rPr>
          <w:color w:val="auto"/>
        </w:rPr>
      </w:pPr>
      <w:r>
        <w:rPr>
          <w:color w:val="auto"/>
        </w:rPr>
        <w:t xml:space="preserve">18.18</w:t>
      </w:r>
      <w:r>
        <w:rPr>
          <w:color w:val="auto"/>
        </w:rPr>
        <w:t xml:space="preserve">.</w:t>
      </w:r>
      <w:r>
        <w:rPr>
          <w:color w:val="auto"/>
        </w:rPr>
        <w:t xml:space="preserve"> </w:t>
      </w:r>
      <w:r>
        <w:rPr>
          <w:color w:val="auto"/>
        </w:rPr>
        <w:t xml:space="preserve">Требования к Субъекту РФ о возмещении недополученных доходов, экономически обоснованных расходов Концессионера, подлежащих возмещению за с</w:t>
      </w:r>
      <w:r>
        <w:rPr>
          <w:color w:val="auto"/>
        </w:rPr>
        <w:t xml:space="preserve">чет средств бюджета субъекта Российской Федерации, могут быть предъявлены только при доказанности факта возникновения таких недополученных доходов, экономически обоснованных расходов Концессионера в результате незаконных действий (бездействия) Субъекта РФ.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19. Разрешение споров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19.1. Споры и разногласия между Сторонами по настоящему Соглашению или в связи с ним разрешаются путем переговоров.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19.2. В случае недостижения согласия в результате проведенн</w:t>
      </w:r>
      <w:r>
        <w:rPr>
          <w:color w:val="auto"/>
          <w:szCs w:val="24"/>
        </w:rPr>
        <w:t xml:space="preserve">ых переговоров, Сторона, заявляющая о существовании спора или разногласий по настоящему Соглашению, направляет другой Стороне письменную претензию, ответ на которую должен быть представлен заявителю в течение 20 (двадцати) рабочих дней со дня ее получения.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Претензия (ответ на претензию) направляется с уведомлением о вручении или иным способом, обеспечивающим получение Стороной такого сообщения.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В случае если ответ не представлен в указанный срок, претензия считается принятой.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19.3. В случае недостижения Сторонами согласия споры, возникшие между Сторонами, разрешаются в соответствии с законодательством Российской Федерации в Арбитражном суде Костромской области</w:t>
      </w:r>
      <w:r>
        <w:rPr>
          <w:i/>
          <w:color w:val="auto"/>
          <w:szCs w:val="24"/>
        </w:rPr>
        <w:t xml:space="preserve">.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20. Размещение информации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20.1. Настоящее соглашение, за исключением сведений, составляющих государственную и коммерческую тайну, подлежат размещению (опубликованию) в официальном бюллетене «Вестник Шарьинского муниципального района». 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21. Заключительные положения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21.1. Сторона, изменившая свое местонахождение и (или) реквизиты, обязана сообщить об этом другой Стороне в течение 10 (десяти) рабочих дней со дня этого изменения.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21.2. Настоящее Соглашение составлено на русском языке в 5 (пяти) подлинных экземпля</w:t>
      </w:r>
      <w:r>
        <w:rPr>
          <w:color w:val="auto"/>
          <w:szCs w:val="24"/>
        </w:rPr>
        <w:t xml:space="preserve">рах, имеющих равную юридическую силу, из них 2 экземпляра для Концедента, 1 экземпляр для Концессионера, 1 экземпляр для Субъекта РФ и 1 экземпляр для Управления Федеральной службы государственной регистрации, кадастра и картографии по Костромской области.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b/>
          <w:color w:val="auto"/>
          <w:szCs w:val="24"/>
        </w:rPr>
      </w:pPr>
      <w:r>
        <w:rPr>
          <w:color w:val="auto"/>
          <w:szCs w:val="24"/>
        </w:rPr>
        <w:t xml:space="preserve">21.3. Все приложения и дополнительные соглашения к настоящему</w:t>
      </w:r>
      <w:r>
        <w:rPr>
          <w:color w:val="auto"/>
          <w:szCs w:val="24"/>
        </w:rPr>
        <w:t xml:space="preserve"> Соглашению, заключенные как при подписании настоящего Соглашения, так и после вступления в силу настоящего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 Перечень приложений </w:t>
      </w:r>
      <w:r>
        <w:rPr>
          <w:color w:val="auto"/>
        </w:rPr>
      </w:r>
    </w:p>
    <w:p>
      <w:pPr>
        <w:pStyle w:val="972"/>
        <w:ind w:left="0" w:firstLine="709"/>
        <w:jc w:val="both"/>
        <w:widowControl w:val="off"/>
        <w:tabs>
          <w:tab w:val="left" w:pos="567" w:leader="none"/>
        </w:tabs>
        <w:rPr>
          <w:color w:val="auto"/>
        </w:rPr>
      </w:pPr>
      <w:r>
        <w:rPr>
          <w:color w:val="auto"/>
        </w:rPr>
        <w:t xml:space="preserve">Неотъемлемой частью настоящего Соглашения являются следующие приложения: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22.1. </w:t>
      </w:r>
      <w:r>
        <w:rPr>
          <w:b/>
          <w:color w:val="auto"/>
          <w:szCs w:val="24"/>
        </w:rPr>
        <w:t xml:space="preserve">Приложение № 1 - </w:t>
      </w:r>
      <w:r>
        <w:rPr>
          <w:color w:val="auto"/>
          <w:szCs w:val="24"/>
        </w:rPr>
        <w:t xml:space="preserve">Перечень недвижимого имущества, входящего в состав Объекта Соглашения;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22.2. </w:t>
      </w:r>
      <w:r>
        <w:rPr>
          <w:b/>
          <w:color w:val="auto"/>
          <w:szCs w:val="24"/>
        </w:rPr>
        <w:t xml:space="preserve">Приложение № 2 - </w:t>
      </w:r>
      <w:r>
        <w:rPr>
          <w:color w:val="auto"/>
          <w:szCs w:val="24"/>
        </w:rPr>
        <w:t xml:space="preserve">Перечень движимого имущества, входящего в состав Объекта Соглашения;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22.3. </w:t>
      </w:r>
      <w:r>
        <w:rPr>
          <w:b/>
          <w:color w:val="auto"/>
          <w:szCs w:val="24"/>
        </w:rPr>
        <w:t xml:space="preserve">Приложение № 3 - </w:t>
      </w:r>
      <w:r>
        <w:rPr>
          <w:color w:val="auto"/>
          <w:szCs w:val="24"/>
        </w:rPr>
        <w:t xml:space="preserve">Перечень и описание реконструируемого в течение срока действия Соглашения  имущества, входящего в состав Объекта Соглашения;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22.4. </w:t>
      </w:r>
      <w:r>
        <w:rPr>
          <w:b/>
          <w:color w:val="auto"/>
          <w:szCs w:val="24"/>
        </w:rPr>
        <w:t xml:space="preserve">Приложение № 4 - </w:t>
      </w:r>
      <w:r>
        <w:rPr>
          <w:color w:val="auto"/>
          <w:szCs w:val="24"/>
        </w:rPr>
        <w:t xml:space="preserve">Техническое описание и ТЭП объектов теплоснабжения, относящихся к Объекту Соглашения;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22.5. </w:t>
      </w:r>
      <w:r>
        <w:rPr>
          <w:b/>
          <w:color w:val="auto"/>
          <w:szCs w:val="24"/>
        </w:rPr>
        <w:t xml:space="preserve">Приложение № 5 - </w:t>
      </w:r>
      <w:r>
        <w:rPr>
          <w:color w:val="auto"/>
          <w:szCs w:val="24"/>
        </w:rPr>
        <w:t xml:space="preserve">Долгосрочные параметры регулирования и плановые значения показателей деятельности Концессионера;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22.6. </w:t>
      </w:r>
      <w:r>
        <w:rPr>
          <w:b/>
          <w:color w:val="auto"/>
          <w:szCs w:val="24"/>
        </w:rPr>
        <w:t xml:space="preserve">Приложение № 6</w:t>
      </w:r>
      <w:r>
        <w:rPr>
          <w:color w:val="auto"/>
          <w:szCs w:val="24"/>
        </w:rPr>
        <w:t xml:space="preserve"> - Задание и основные мероприятия по реконструкции имущества в составе Объекта Соглашения;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22.7. </w:t>
      </w:r>
      <w:r>
        <w:rPr>
          <w:b/>
          <w:color w:val="auto"/>
          <w:szCs w:val="24"/>
        </w:rPr>
        <w:t xml:space="preserve">Приложение № 7 - </w:t>
      </w:r>
      <w:r>
        <w:rPr>
          <w:color w:val="auto"/>
          <w:szCs w:val="24"/>
        </w:rPr>
        <w:t xml:space="preserve">Перечень сформированных земельных участков для целей размещения имущества, передаваемого по Соглашению;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22.8. </w:t>
      </w:r>
      <w:r>
        <w:rPr>
          <w:b/>
          <w:color w:val="auto"/>
          <w:szCs w:val="24"/>
        </w:rPr>
        <w:t xml:space="preserve">Приложение № 8 - </w:t>
      </w:r>
      <w:r>
        <w:rPr>
          <w:color w:val="auto"/>
          <w:szCs w:val="24"/>
        </w:rPr>
        <w:t xml:space="preserve">Описание и ТЭП объектов теплоснабжения при возврате Объекта Соглашения Концеденту по истечении срока действия Соглашения;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22.9. </w:t>
      </w:r>
      <w:r>
        <w:rPr>
          <w:b/>
          <w:color w:val="auto"/>
          <w:szCs w:val="24"/>
        </w:rPr>
        <w:t xml:space="preserve">Приложение № 9</w:t>
      </w:r>
      <w:r>
        <w:rPr>
          <w:color w:val="auto"/>
          <w:szCs w:val="24"/>
        </w:rPr>
        <w:t xml:space="preserve"> - Форма акта приема-передачи имущества по Соглашению. 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22.10. </w:t>
      </w:r>
      <w:r>
        <w:rPr>
          <w:b/>
          <w:color w:val="auto"/>
          <w:szCs w:val="24"/>
        </w:rPr>
        <w:t xml:space="preserve">Приложение № 10</w:t>
      </w:r>
      <w:r>
        <w:rPr>
          <w:color w:val="auto"/>
          <w:szCs w:val="24"/>
        </w:rPr>
        <w:t xml:space="preserve"> - Форма Акта об исполнении Концессионером своих обязательств по реконструкции имущества в составе Объекта Соглашения;</w:t>
      </w:r>
      <w:r>
        <w:rPr>
          <w:color w:val="auto"/>
        </w:rPr>
      </w:r>
    </w:p>
    <w:p>
      <w:pPr>
        <w:ind w:left="4"/>
        <w:spacing w:after="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22.11. </w:t>
      </w:r>
      <w:r>
        <w:rPr>
          <w:b/>
          <w:color w:val="auto"/>
          <w:szCs w:val="24"/>
        </w:rPr>
        <w:t xml:space="preserve">Приложение № 11</w:t>
      </w:r>
      <w:r>
        <w:rPr>
          <w:color w:val="auto"/>
          <w:szCs w:val="24"/>
        </w:rPr>
        <w:t xml:space="preserve"> - </w:t>
      </w:r>
      <w:r>
        <w:rPr>
          <w:color w:val="auto"/>
        </w:rPr>
        <w:t xml:space="preserve">Техническое обследование объектов </w:t>
      </w:r>
      <w:r>
        <w:rPr>
          <w:color w:val="auto"/>
          <w:szCs w:val="24"/>
        </w:rPr>
        <w:t xml:space="preserve">теплоснабжения, относящихся к Объекту Соглашения.</w:t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</w:r>
      <w:r>
        <w:rPr>
          <w:color w:val="auto"/>
        </w:rPr>
      </w:r>
    </w:p>
    <w:p>
      <w:pPr>
        <w:pStyle w:val="754"/>
        <w:ind w:left="0" w:right="0" w:firstLine="0"/>
        <w:keepLines w:val="0"/>
        <w:keepNext w:val="0"/>
        <w:spacing w:before="120" w:after="120" w:line="240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23. Адреса и реквизиты Сторон </w:t>
      </w:r>
      <w:r>
        <w:rPr>
          <w:color w:val="auto"/>
        </w:rPr>
      </w:r>
    </w:p>
    <w:tbl>
      <w:tblPr>
        <w:tblStyle w:val="965"/>
        <w:tblW w:w="5000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308"/>
      </w:tblGrid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auto"/>
                <w:szCs w:val="24"/>
              </w:rPr>
            </w:pPr>
            <w:r>
              <w:rPr>
                <w:b/>
                <w:color w:val="auto"/>
                <w:szCs w:val="24"/>
                <w:lang w:eastAsia="ar-SA"/>
              </w:rPr>
              <w:t xml:space="preserve">Концедент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Муниципальное образование Шарьинский муниципальный район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157500 Костромская область, город Шарья, ул. Октябрьская, д.21 </w:t>
            </w:r>
            <w:r>
              <w:rPr>
                <w:color w:val="auto"/>
              </w:rPr>
            </w:r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Тел. 5-03-50</w:t>
            </w:r>
            <w:r>
              <w:rPr>
                <w:color w:val="auto"/>
              </w:rPr>
            </w:r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ОКПО 04030707</w:t>
            </w:r>
            <w:r>
              <w:rPr>
                <w:color w:val="auto"/>
              </w:rPr>
            </w:r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ОГРН 1024402032600</w:t>
            </w:r>
            <w:r>
              <w:rPr>
                <w:color w:val="auto"/>
              </w:rPr>
            </w:r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ИНН 4430001003/ КПП 443001001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Глава Шарьинского муниципального района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</w:r>
            <w:r>
              <w:rPr>
                <w:color w:val="auto"/>
              </w:rPr>
            </w:r>
          </w:p>
          <w:p>
            <w:pPr>
              <w:ind w:left="0" w:firstLine="0"/>
              <w:jc w:val="righ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__________________________Н.С. Глушаков</w:t>
            </w:r>
            <w:r>
              <w:rPr>
                <w:color w:val="auto"/>
              </w:rPr>
            </w:r>
          </w:p>
          <w:p>
            <w:pPr>
              <w:ind w:left="0" w:firstLine="0"/>
              <w:jc w:val="righ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М.П.  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b/>
                <w:color w:val="auto"/>
                <w:szCs w:val="24"/>
                <w:lang w:eastAsia="ar-SA"/>
              </w:rPr>
              <w:t xml:space="preserve">Концессионер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Индивидуальный предприниматель Скидоненко Виктор Андреевич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157504 Костромская область, г. Шарья, ул. Южная, д.1, кв.1</w:t>
            </w:r>
            <w:r>
              <w:rPr>
                <w:color w:val="auto"/>
              </w:rPr>
            </w:r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Тел. +7(910)950-73-17</w:t>
            </w:r>
            <w:r>
              <w:rPr>
                <w:color w:val="auto"/>
              </w:rPr>
            </w:r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ОГРИП 316440100076155 </w:t>
            </w:r>
            <w:r>
              <w:rPr>
                <w:color w:val="auto"/>
              </w:rPr>
            </w:r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ИНН 441000813276</w:t>
            </w:r>
            <w:r>
              <w:rPr>
                <w:color w:val="auto"/>
              </w:rPr>
            </w:r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Индивидуальный предприниматель Скидоненко Виктор Андреевич</w:t>
            </w:r>
            <w:r>
              <w:rPr>
                <w:color w:val="auto"/>
              </w:rPr>
            </w:r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righ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________________________В.А. Скидоненко</w:t>
            </w:r>
            <w:r>
              <w:rPr>
                <w:color w:val="auto"/>
              </w:rPr>
            </w:r>
          </w:p>
          <w:p>
            <w:pPr>
              <w:ind w:left="0" w:firstLine="0"/>
              <w:jc w:val="righ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М.П.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auto"/>
                <w:szCs w:val="24"/>
              </w:rPr>
            </w:pPr>
            <w:r>
              <w:rPr>
                <w:rFonts w:eastAsia="Calibri"/>
                <w:b/>
                <w:color w:val="auto"/>
                <w:szCs w:val="24"/>
                <w:lang w:eastAsia="ar-SA"/>
              </w:rPr>
              <w:t xml:space="preserve">Субъект РФ – Костромская область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156006, г. Кострома, ул. Дзержинского, д. 15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Заместитель губернатора Костромской области</w:t>
            </w:r>
            <w:r>
              <w:rPr>
                <w:color w:val="auto"/>
              </w:rPr>
            </w:r>
          </w:p>
        </w:tc>
      </w:tr>
      <w:tr>
        <w:trPr/>
        <w:tc>
          <w:tcPr>
            <w:tcW w:w="5000" w:type="pct"/>
            <w:textDirection w:val="lrTb"/>
            <w:noWrap/>
          </w:tcPr>
          <w:p>
            <w:pPr>
              <w:ind w:left="0" w:firstLine="0"/>
              <w:jc w:val="right"/>
              <w:spacing w:after="0" w:line="240" w:lineRule="auto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________________________ И.Е. Малякин</w:t>
            </w:r>
            <w:r>
              <w:rPr>
                <w:color w:val="auto"/>
              </w:rPr>
            </w:r>
          </w:p>
          <w:p>
            <w:pPr>
              <w:ind w:left="0" w:firstLine="0"/>
              <w:jc w:val="right"/>
              <w:widowControl w:val="off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  <w:lang w:eastAsia="ar-SA"/>
              </w:rPr>
              <w:t xml:space="preserve">М.П.</w:t>
            </w:r>
            <w:r>
              <w:rPr>
                <w:color w:val="auto"/>
              </w:rPr>
            </w:r>
          </w:p>
        </w:tc>
      </w:tr>
    </w:tbl>
    <w:p>
      <w:pPr>
        <w:ind w:left="0" w:firstLine="0"/>
        <w:widowControl w:val="off"/>
        <w:rPr>
          <w:color w:val="000000" w:themeColor="text1"/>
          <w:szCs w:val="24"/>
          <w:lang w:eastAsia="ar-SA"/>
        </w:rPr>
        <w:sectPr>
          <w:headerReference w:type="default" r:id="rId9"/>
          <w:headerReference w:type="first" r:id="rId10"/>
          <w:footerReference w:type="default" r:id="rId11"/>
          <w:footerReference w:type="even" r:id="rId12"/>
          <w:footerReference w:type="first" r:id="rId13"/>
          <w:footnotePr/>
          <w:endnotePr/>
          <w:type w:val="nextPage"/>
          <w:pgSz w:w="11906" w:h="16838" w:orient="portrait"/>
          <w:pgMar w:top="1021" w:right="907" w:bottom="907" w:left="907" w:header="720" w:footer="425" w:gutter="0"/>
          <w:cols w:num="1" w:sep="0" w:space="720" w:equalWidth="1"/>
          <w:docGrid w:linePitch="360"/>
          <w:titlePg/>
        </w:sectPr>
      </w:pPr>
      <w:r>
        <w:rPr>
          <w:color w:val="000000" w:themeColor="text1"/>
          <w:szCs w:val="24"/>
          <w:lang w:eastAsia="ar-SA"/>
        </w:rPr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Приложение № 1 </w:t>
      </w:r>
      <w:r/>
    </w:p>
    <w:p>
      <w:pPr>
        <w:ind w:left="11351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ind w:left="3889" w:hanging="10"/>
        <w:jc w:val="left"/>
        <w:spacing w:after="21" w:line="265" w:lineRule="auto"/>
        <w:widowControl w:val="off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</w:r>
      <w:r/>
    </w:p>
    <w:p>
      <w:pPr>
        <w:pStyle w:val="754"/>
        <w:keepLines w:val="0"/>
        <w:keepNext w:val="0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Перечень недвижимого имущества, входящего в состав Объекта Соглашения</w:t>
      </w:r>
      <w:r/>
    </w:p>
    <w:p>
      <w:pPr>
        <w:widowControl w:val="off"/>
      </w:pPr>
      <w:r/>
      <w:r/>
    </w:p>
    <w:tbl>
      <w:tblPr>
        <w:tblStyle w:val="964"/>
        <w:tblW w:w="5000" w:type="pct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7" w:type="dxa"/>
        </w:tblCellMar>
        <w:tblLook w:val="04A0" w:firstRow="1" w:lastRow="0" w:firstColumn="1" w:lastColumn="0" w:noHBand="0" w:noVBand="1"/>
      </w:tblPr>
      <w:tblGrid>
        <w:gridCol w:w="164"/>
        <w:gridCol w:w="971"/>
        <w:gridCol w:w="1146"/>
        <w:gridCol w:w="2532"/>
        <w:gridCol w:w="2232"/>
        <w:gridCol w:w="1732"/>
        <w:gridCol w:w="4143"/>
        <w:gridCol w:w="1717"/>
      </w:tblGrid>
      <w:tr>
        <w:trPr>
          <w:jc w:val="center"/>
          <w:trHeight w:val="936"/>
        </w:trPr>
        <w:tc>
          <w:tcPr>
            <w:tcW w:w="143" w:type="pct"/>
            <w:vAlign w:val="center"/>
            <w:textDirection w:val="lrTb"/>
            <w:noWrap/>
          </w:tcPr>
          <w:p>
            <w:pPr>
              <w:ind w:left="106" w:firstLine="0"/>
              <w:jc w:val="left"/>
              <w:spacing w:after="2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№ </w:t>
            </w:r>
            <w:r/>
          </w:p>
          <w:p>
            <w:pPr>
              <w:ind w:left="70" w:firstLine="0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п/п</w:t>
            </w:r>
            <w:r/>
          </w:p>
        </w:tc>
        <w:tc>
          <w:tcPr>
            <w:tcW w:w="578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Объект теплоснабжения</w:t>
            </w:r>
            <w:r/>
          </w:p>
        </w:tc>
        <w:tc>
          <w:tcPr>
            <w:tcW w:w="475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61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Инв. номер по данным учета </w:t>
            </w:r>
            <w:r/>
          </w:p>
          <w:p>
            <w:pPr>
              <w:ind w:left="0" w:right="156" w:firstLine="0"/>
              <w:jc w:val="righ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Концедента</w:t>
            </w:r>
            <w:r/>
          </w:p>
        </w:tc>
        <w:tc>
          <w:tcPr>
            <w:tcW w:w="87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Наименование объекта по правоустанавливающим документам</w:t>
            </w:r>
            <w:r/>
          </w:p>
        </w:tc>
        <w:tc>
          <w:tcPr>
            <w:tcW w:w="871" w:type="pct"/>
            <w:vAlign w:val="center"/>
            <w:textDirection w:val="lrTb"/>
            <w:noWrap/>
          </w:tcPr>
          <w:p>
            <w:pPr>
              <w:ind w:left="14" w:firstLine="0"/>
              <w:jc w:val="center"/>
              <w:spacing w:after="0" w:line="261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Местоположение (адрес) по</w:t>
            </w:r>
            <w:r/>
          </w:p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правоустанавливающим документам</w:t>
            </w:r>
            <w:r/>
          </w:p>
        </w:tc>
        <w:tc>
          <w:tcPr>
            <w:tcW w:w="578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Кадастровый номер объекта недвижимости</w:t>
            </w:r>
            <w:r/>
          </w:p>
        </w:tc>
        <w:tc>
          <w:tcPr>
            <w:tcW w:w="87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61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Технические характеристики по</w:t>
            </w:r>
            <w:r/>
          </w:p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правоустанавливающим документам </w:t>
            </w:r>
            <w:r/>
          </w:p>
        </w:tc>
        <w:tc>
          <w:tcPr>
            <w:tcW w:w="613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61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Номер записи в ЕГРП о регистрации права </w:t>
            </w:r>
            <w:r/>
          </w:p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муниципальной собственности</w:t>
            </w:r>
            <w:r/>
          </w:p>
        </w:tc>
      </w:tr>
      <w:tr>
        <w:trPr>
          <w:jc w:val="center"/>
          <w:trHeight w:val="687"/>
        </w:trPr>
        <w:tc>
          <w:tcPr>
            <w:tcW w:w="143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before="120" w:after="12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/>
          </w:p>
        </w:tc>
        <w:tc>
          <w:tcPr>
            <w:tcW w:w="578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before="120" w:after="12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</w:t>
            </w:r>
            <w:r/>
          </w:p>
        </w:tc>
        <w:tc>
          <w:tcPr>
            <w:tcW w:w="475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before="120" w:after="12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13943</w:t>
            </w:r>
            <w:r/>
          </w:p>
        </w:tc>
        <w:tc>
          <w:tcPr>
            <w:tcW w:w="87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before="120" w:after="12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Здание котельной</w:t>
            </w:r>
            <w:r/>
          </w:p>
        </w:tc>
        <w:tc>
          <w:tcPr>
            <w:tcW w:w="87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before="120" w:after="12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область, р-н Шарьинский, д Ивановское, д 71а</w:t>
            </w:r>
            <w:r/>
          </w:p>
        </w:tc>
        <w:tc>
          <w:tcPr>
            <w:tcW w:w="578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before="120" w:after="12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44:24:050501:207</w:t>
            </w:r>
            <w:r/>
          </w:p>
        </w:tc>
        <w:tc>
          <w:tcPr>
            <w:tcW w:w="87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before="120" w:after="12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Площадь 85,5 м</w:t>
            </w:r>
            <w:r>
              <w:rPr>
                <w:color w:val="000000" w:themeColor="text1"/>
                <w:sz w:val="20"/>
                <w:szCs w:val="20"/>
                <w:vertAlign w:val="superscript"/>
              </w:rPr>
              <w:t xml:space="preserve">2</w:t>
            </w:r>
            <w:r>
              <w:rPr>
                <w:color w:val="000000" w:themeColor="text1"/>
                <w:sz w:val="20"/>
                <w:szCs w:val="20"/>
              </w:rPr>
              <w:t xml:space="preserve">, количество этажей 1, кадастровая стоимость 655318,17, материал стен: из прочих материалов</w:t>
            </w:r>
            <w:r/>
          </w:p>
        </w:tc>
        <w:tc>
          <w:tcPr>
            <w:tcW w:w="613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before="120"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44:24:050501:207-44/020/2018-2</w:t>
            </w:r>
            <w:r/>
          </w:p>
          <w:p>
            <w:pPr>
              <w:ind w:left="0" w:firstLine="0"/>
              <w:jc w:val="center"/>
              <w:spacing w:after="12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от 21.03.2018</w:t>
            </w:r>
            <w:r/>
          </w:p>
        </w:tc>
      </w:tr>
    </w:tbl>
    <w:p>
      <w:pPr>
        <w:ind w:left="-804" w:right="11" w:firstLine="0"/>
        <w:spacing w:after="0" w:line="259" w:lineRule="auto"/>
        <w:widowControl w:val="off"/>
        <w:rPr>
          <w:color w:val="000000" w:themeColor="text1"/>
        </w:rPr>
      </w:pPr>
      <w:r>
        <w:rPr>
          <w:color w:val="000000" w:themeColor="text1"/>
        </w:rPr>
      </w:r>
      <w:r/>
    </w:p>
    <w:p>
      <w:pPr>
        <w:ind w:left="-804" w:right="11" w:firstLine="0"/>
        <w:spacing w:after="0" w:line="259" w:lineRule="auto"/>
        <w:widowControl w:val="off"/>
        <w:rPr>
          <w:color w:val="000000" w:themeColor="text1"/>
        </w:rPr>
      </w:pPr>
      <w:r>
        <w:rPr>
          <w:color w:val="000000" w:themeColor="text1"/>
        </w:rPr>
      </w:r>
      <w:r/>
    </w:p>
    <w:tbl>
      <w:tblPr>
        <w:tblStyle w:val="964"/>
        <w:tblW w:w="5000" w:type="pct"/>
        <w:tblInd w:w="0" w:type="dxa"/>
        <w:tblLook w:val="04A0" w:firstRow="1" w:lastRow="0" w:firstColumn="1" w:lastColumn="0" w:noHBand="0" w:noVBand="1"/>
      </w:tblPr>
      <w:tblGrid>
        <w:gridCol w:w="7313"/>
        <w:gridCol w:w="7314"/>
      </w:tblGrid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 Индивидуальный предприниматель Скидоненко Виктор Андреевич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________________________В.А. Скидоненко</w:t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</w:tr>
    </w:tbl>
    <w:p>
      <w:pPr>
        <w:ind w:left="0" w:firstLine="0"/>
        <w:jc w:val="left"/>
        <w:spacing w:after="16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 w:clear="all"/>
      </w:r>
      <w:r/>
    </w:p>
    <w:p>
      <w:pPr>
        <w:ind w:left="461" w:right="98" w:hanging="10"/>
        <w:jc w:val="right"/>
        <w:spacing w:after="24" w:line="253" w:lineRule="auto"/>
        <w:widowControl w:val="off"/>
        <w:rPr>
          <w:color w:val="000000" w:themeColor="text1"/>
        </w:rPr>
      </w:pPr>
      <w:r>
        <w:rPr>
          <w:color w:val="000000" w:themeColor="text1"/>
          <w:sz w:val="22"/>
        </w:rPr>
        <w:t xml:space="preserve">Приложение № 2 </w:t>
      </w:r>
      <w:r/>
    </w:p>
    <w:p>
      <w:pPr>
        <w:ind w:left="11351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pStyle w:val="754"/>
        <w:ind w:left="2907" w:right="0" w:firstLine="0"/>
        <w:jc w:val="left"/>
        <w:keepLines w:val="0"/>
        <w:keepNext w:val="0"/>
        <w:spacing w:after="35" w:line="259" w:lineRule="auto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Перечень движимого имущества, входящего в состав Объекта Соглашения</w:t>
      </w:r>
      <w:r/>
    </w:p>
    <w:p>
      <w:pPr>
        <w:widowControl w:val="off"/>
      </w:pPr>
      <w:r/>
      <w:r/>
    </w:p>
    <w:tbl>
      <w:tblPr>
        <w:tblStyle w:val="964"/>
        <w:tblW w:w="5000" w:type="pct"/>
        <w:tblInd w:w="-5" w:type="dxa"/>
        <w:tblCellMar>
          <w:left w:w="41" w:type="dxa"/>
          <w:top w:w="18" w:type="dxa"/>
        </w:tblCellMar>
        <w:tblLook w:val="04A0" w:firstRow="1" w:lastRow="0" w:firstColumn="1" w:lastColumn="0" w:noHBand="0" w:noVBand="1"/>
      </w:tblPr>
      <w:tblGrid>
        <w:gridCol w:w="699"/>
        <w:gridCol w:w="2645"/>
        <w:gridCol w:w="5184"/>
        <w:gridCol w:w="6150"/>
      </w:tblGrid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2" w:firstLine="0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№ п/п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Объект теплоснабжения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right="39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Наименование и характеристика объекта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right="4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Место размещения (адрес)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0" w:right="2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 КВр-0,6, год ввода в эксплуатацию 2019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0" w:right="2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 КВр-0,3, год ввода в эксплуатацию 2023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0" w:right="2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Центробежный насос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0" w:right="2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Центробежный насос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0" w:right="2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5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Дымосос №4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0" w:right="2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6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Электрощит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0" w:right="2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7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Тепловычислитель ВЗЛЕТ ТСРВ-034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0" w:right="2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8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Счетчик учета воды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0" w:right="2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9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Задвижка d-100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175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10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Задвижка d-100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175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right="1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Задвижка шиберная d -80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175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right="1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Задвижка шиберная d -80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175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right="1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Задвижка шиберная d -80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175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14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right="1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Задвижка шиберная d -80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8" w:type="pct"/>
            <w:vAlign w:val="center"/>
            <w:textDirection w:val="lrTb"/>
            <w:noWrap/>
          </w:tcPr>
          <w:p>
            <w:pPr>
              <w:ind w:left="175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15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01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66" w:type="pct"/>
            <w:vAlign w:val="center"/>
            <w:textDirection w:val="lrTb"/>
            <w:noWrap/>
          </w:tcPr>
          <w:p>
            <w:pPr>
              <w:ind w:left="0" w:right="1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Тепловые сети 0,4 км, год ввода в эксплуатацию 1988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9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</w:tr>
    </w:tbl>
    <w:p>
      <w:pPr>
        <w:ind w:left="0" w:right="69" w:firstLine="0"/>
        <w:jc w:val="lef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0" w:right="69" w:firstLine="0"/>
        <w:jc w:val="lef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tbl>
      <w:tblPr>
        <w:tblStyle w:val="964"/>
        <w:tblW w:w="5000" w:type="pct"/>
        <w:tblInd w:w="0" w:type="dxa"/>
        <w:tblLook w:val="04A0" w:firstRow="1" w:lastRow="0" w:firstColumn="1" w:lastColumn="0" w:noHBand="0" w:noVBand="1"/>
      </w:tblPr>
      <w:tblGrid>
        <w:gridCol w:w="7313"/>
        <w:gridCol w:w="7314"/>
      </w:tblGrid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 Индивидуальный предприниматель Скидоненко Виктор Андреевич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________________________В.А. Скидоненко</w:t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</w:tr>
    </w:tbl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0" w:firstLine="0"/>
        <w:jc w:val="left"/>
        <w:spacing w:after="16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 w:clear="all"/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Приложение № 3</w:t>
      </w:r>
      <w:r/>
    </w:p>
    <w:p>
      <w:pPr>
        <w:ind w:left="11351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от"___" _____________ 20__г.</w:t>
      </w:r>
      <w:r/>
    </w:p>
    <w:p>
      <w:pPr>
        <w:pStyle w:val="754"/>
        <w:keepLines w:val="0"/>
        <w:keepNext w:val="0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Перечень и описание реконструируемого в течение срока действия Соглашения  имущества, </w:t>
      </w:r>
      <w:r/>
    </w:p>
    <w:p>
      <w:pPr>
        <w:pStyle w:val="754"/>
        <w:ind w:left="11" w:right="6" w:hanging="11"/>
        <w:keepLines w:val="0"/>
        <w:keepNext w:val="0"/>
        <w:spacing w:after="0" w:line="240" w:lineRule="auto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входящего в состав Объекта Соглашения</w:t>
      </w:r>
      <w:r/>
    </w:p>
    <w:tbl>
      <w:tblPr>
        <w:tblW w:w="5000" w:type="pct"/>
        <w:jc w:val="center"/>
        <w:tblLayout w:type="fixed"/>
        <w:tblCellMar>
          <w:left w:w="35" w:type="dxa"/>
          <w:top w:w="55" w:type="dxa"/>
          <w:right w:w="39" w:type="dxa"/>
        </w:tblCellMar>
        <w:tblLook w:val="04A0" w:firstRow="1" w:lastRow="0" w:firstColumn="1" w:lastColumn="0" w:noHBand="0" w:noVBand="1"/>
      </w:tblPr>
      <w:tblGrid>
        <w:gridCol w:w="1844"/>
        <w:gridCol w:w="4990"/>
        <w:gridCol w:w="571"/>
        <w:gridCol w:w="571"/>
        <w:gridCol w:w="571"/>
        <w:gridCol w:w="571"/>
        <w:gridCol w:w="713"/>
        <w:gridCol w:w="1284"/>
        <w:gridCol w:w="1568"/>
        <w:gridCol w:w="2018"/>
      </w:tblGrid>
      <w:tr>
        <w:trPr>
          <w:jc w:val="center"/>
          <w:trHeight w:val="262"/>
        </w:trPr>
        <w:tc>
          <w:tcPr>
            <w:shd w:val="clear" w:color="auto" w:fill="auto"/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1844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Местонахождение</w:t>
            </w:r>
            <w:r/>
          </w:p>
        </w:tc>
        <w:tc>
          <w:tcPr>
            <w:tcBorders>
              <w:top w:val="single" w:color="000000" w:sz="7" w:space="0"/>
              <w:left w:val="single" w:color="000000" w:sz="7" w:space="0"/>
              <w:right w:val="single" w:color="000000" w:sz="7" w:space="0"/>
            </w:tcBorders>
            <w:tcW w:w="4990" w:type="dxa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Создаваемое/реконструируемое  имущество</w:t>
            </w:r>
            <w:r/>
          </w:p>
        </w:tc>
        <w:tc>
          <w:tcPr>
            <w:gridSpan w:val="5"/>
            <w:shd w:val="clear" w:color="auto" w:fill="auto"/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299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Год реконструкции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 (в тыс.руб.,)</w:t>
            </w:r>
            <w:r/>
          </w:p>
        </w:tc>
        <w:tc>
          <w:tcPr>
            <w:shd w:val="clear" w:color="auto" w:fill="auto"/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1284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Объем инвестиций, тыс.руб.</w:t>
            </w:r>
            <w:r/>
          </w:p>
        </w:tc>
        <w:tc>
          <w:tcPr>
            <w:tcBorders>
              <w:top w:val="single" w:color="000000" w:sz="7" w:space="0"/>
              <w:left w:val="single" w:color="000000" w:sz="7" w:space="0"/>
              <w:right w:val="single" w:color="000000" w:sz="7" w:space="0"/>
            </w:tcBorders>
            <w:tcW w:w="1568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Срок 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ввода в эксплуатацию Объекта Соглашения</w:t>
            </w:r>
            <w:r/>
          </w:p>
        </w:tc>
        <w:tc>
          <w:tcPr>
            <w:shd w:val="clear" w:color="auto" w:fill="auto"/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2018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Источники инвестиций</w:t>
            </w:r>
            <w:r/>
          </w:p>
        </w:tc>
      </w:tr>
      <w:tr>
        <w:trPr>
          <w:jc w:val="center"/>
          <w:trHeight w:val="419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1844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4990" w:type="dxa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2024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2025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2026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2027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713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2028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1284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1568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2018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</w:tr>
      <w:tr>
        <w:trPr>
          <w:jc w:val="center"/>
          <w:trHeight w:val="284"/>
        </w:trPr>
        <w:tc>
          <w:tcPr>
            <w:shd w:val="clear" w:color="auto" w:fill="auto"/>
            <w:tcBorders>
              <w:top w:val="single" w:color="000000" w:sz="7" w:space="0"/>
              <w:left w:val="single" w:color="000000" w:sz="7" w:space="0"/>
              <w:right w:val="single" w:color="auto" w:sz="4" w:space="0"/>
            </w:tcBorders>
            <w:tcW w:w="1844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д. Ивановское, д.71а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5" w:space="0"/>
            </w:tcBorders>
            <w:tcW w:w="4990" w:type="dxa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Установка 6 светодиодных прожекторов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13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284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</w:t>
            </w:r>
            <w:r/>
          </w:p>
        </w:tc>
        <w:tc>
          <w:tcPr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156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До 31.12.2024 г.</w:t>
            </w:r>
            <w:r/>
          </w:p>
        </w:tc>
        <w:tc>
          <w:tcPr>
            <w:shd w:val="clear" w:color="auto" w:fill="auto"/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201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Собственные средства</w:t>
            </w:r>
            <w:r/>
          </w:p>
        </w:tc>
      </w:tr>
      <w:tr>
        <w:trPr>
          <w:jc w:val="center"/>
          <w:trHeight w:val="346"/>
        </w:trPr>
        <w:tc>
          <w:tcPr>
            <w:shd w:val="clear" w:color="auto" w:fill="auto"/>
            <w:tcBorders>
              <w:left w:val="single" w:color="000000" w:sz="7" w:space="0"/>
              <w:right w:val="single" w:color="auto" w:sz="4" w:space="0"/>
            </w:tcBorders>
            <w:tcW w:w="1844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5" w:space="0"/>
            </w:tcBorders>
            <w:tcW w:w="4990" w:type="dxa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Замена 4 пускателей циркуляционных насосов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13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284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7</w:t>
            </w:r>
            <w:r/>
          </w:p>
        </w:tc>
        <w:tc>
          <w:tcPr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156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До 31.12.2025 г.</w:t>
            </w:r>
            <w:r/>
          </w:p>
        </w:tc>
        <w:tc>
          <w:tcPr>
            <w:shd w:val="clear" w:color="auto" w:fill="auto"/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201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Собственные средства</w:t>
            </w:r>
            <w:r/>
          </w:p>
        </w:tc>
      </w:tr>
      <w:tr>
        <w:trPr>
          <w:jc w:val="center"/>
          <w:trHeight w:val="346"/>
        </w:trPr>
        <w:tc>
          <w:tcPr>
            <w:shd w:val="clear" w:color="ffffff" w:fill="ffffff"/>
            <w:tcBorders>
              <w:left w:val="single" w:color="000000" w:sz="7" w:space="0"/>
              <w:right w:val="single" w:color="000000" w:sz="4" w:space="0"/>
            </w:tcBorders>
            <w:tcW w:w="1844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5" w:space="0"/>
            </w:tcBorders>
            <w:tcW w:w="4990" w:type="dxa"/>
            <w:vMerge w:val="restar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Замена участка теплотрассы УТ-3 – МКД №73 и</w:t>
            </w: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участка </w:t>
            </w:r>
            <w:r>
              <w:rPr>
                <w:color w:val="000000" w:themeColor="text1"/>
                <w:sz w:val="20"/>
                <w:szCs w:val="20"/>
              </w:rPr>
              <w:t xml:space="preserve">УТ-3 – МКД №75 (протяженностью 135,8 м)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63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63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13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284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126</w:t>
            </w:r>
            <w:r/>
          </w:p>
        </w:tc>
        <w:tc>
          <w:tcPr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1568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До 31.12.2026 г.</w:t>
            </w:r>
            <w:r/>
          </w:p>
        </w:tc>
        <w:tc>
          <w:tcPr>
            <w:shd w:val="clear" w:color="ffffff" w:fill="ffffff"/>
            <w:tcBorders>
              <w:top w:val="single" w:color="000000" w:sz="7" w:space="0"/>
              <w:left w:val="single" w:color="000000" w:sz="7" w:space="0"/>
              <w:bottom w:val="single" w:color="000000" w:sz="7" w:space="0"/>
              <w:right w:val="single" w:color="000000" w:sz="7" w:space="0"/>
            </w:tcBorders>
            <w:tcW w:w="2018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Собственные средства</w:t>
            </w:r>
            <w:r/>
          </w:p>
        </w:tc>
      </w:tr>
      <w:tr>
        <w:trPr>
          <w:jc w:val="center"/>
          <w:trHeight w:val="450"/>
        </w:trPr>
        <w:tc>
          <w:tcPr>
            <w:shd w:val="clear" w:color="auto" w:fill="auto"/>
            <w:tcBorders>
              <w:left w:val="single" w:color="000000" w:sz="7" w:space="0"/>
              <w:right w:val="single" w:color="auto" w:sz="4" w:space="0"/>
            </w:tcBorders>
            <w:tcW w:w="1844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000000" w:sz="5" w:space="0"/>
            </w:tcBorders>
            <w:tcW w:w="4990" w:type="dxa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Замена участка теплотрассы УТ-2 – УТ-3 (протяженностью 76 м)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right w:val="single" w:color="000000" w:sz="5" w:space="0"/>
            </w:tcBorders>
            <w:tcW w:w="57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63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right w:val="single" w:color="000000" w:sz="5" w:space="0"/>
            </w:tcBorders>
            <w:tcW w:w="713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000000" w:sz="5" w:space="0"/>
              <w:left w:val="single" w:color="000000" w:sz="5" w:space="0"/>
              <w:right w:val="single" w:color="000000" w:sz="5" w:space="0"/>
            </w:tcBorders>
            <w:tcW w:w="1284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63</w:t>
            </w:r>
            <w:r/>
          </w:p>
        </w:tc>
        <w:tc>
          <w:tcPr>
            <w:tcBorders>
              <w:top w:val="single" w:color="000000" w:sz="7" w:space="0"/>
              <w:left w:val="single" w:color="000000" w:sz="7" w:space="0"/>
              <w:right w:val="single" w:color="000000" w:sz="7" w:space="0"/>
            </w:tcBorders>
            <w:tcW w:w="156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До 31.12.2027 г.</w:t>
            </w:r>
            <w:r/>
          </w:p>
        </w:tc>
        <w:tc>
          <w:tcPr>
            <w:shd w:val="clear" w:color="auto" w:fill="auto"/>
            <w:tcBorders>
              <w:top w:val="single" w:color="000000" w:sz="7" w:space="0"/>
              <w:left w:val="single" w:color="000000" w:sz="7" w:space="0"/>
              <w:right w:val="single" w:color="000000" w:sz="7" w:space="0"/>
            </w:tcBorders>
            <w:tcW w:w="201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Собственные средства</w:t>
            </w:r>
            <w:r/>
          </w:p>
        </w:tc>
      </w:tr>
      <w:tr>
        <w:trPr>
          <w:jc w:val="center"/>
          <w:trHeight w:val="389"/>
        </w:trPr>
        <w:tc>
          <w:tcPr>
            <w:shd w:val="clear" w:color="ffffff" w:fill="ffffff"/>
            <w:tcBorders>
              <w:left w:val="single" w:color="000000" w:sz="7" w:space="0"/>
              <w:right w:val="single" w:color="000000" w:sz="4" w:space="0"/>
            </w:tcBorders>
            <w:tcW w:w="1844" w:type="dxa"/>
            <w:vAlign w:val="center"/>
            <w:vMerge w:val="continue"/>
            <w:textDirection w:val="lrTb"/>
            <w:noWrap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5" w:space="0"/>
            </w:tcBorders>
            <w:tcW w:w="4990" w:type="dxa"/>
            <w:vMerge w:val="restar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Установка водоподготовительной установки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-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713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195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1284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195</w:t>
            </w:r>
            <w:r/>
          </w:p>
        </w:tc>
        <w:tc>
          <w:tcPr>
            <w:tcBorders>
              <w:top w:val="single" w:color="000000" w:sz="7" w:space="0"/>
              <w:left w:val="single" w:color="000000" w:sz="7" w:space="0"/>
              <w:bottom w:val="single" w:color="000000" w:sz="4" w:space="0"/>
              <w:right w:val="single" w:color="000000" w:sz="7" w:space="0"/>
            </w:tcBorders>
            <w:tcW w:w="1568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До 31.12.2028 г.</w:t>
            </w:r>
            <w:r/>
          </w:p>
        </w:tc>
        <w:tc>
          <w:tcPr>
            <w:shd w:val="clear" w:color="ffffff" w:fill="ffffff"/>
            <w:tcBorders>
              <w:top w:val="single" w:color="000000" w:sz="7" w:space="0"/>
              <w:left w:val="single" w:color="000000" w:sz="7" w:space="0"/>
              <w:bottom w:val="single" w:color="000000" w:sz="4" w:space="0"/>
              <w:right w:val="single" w:color="000000" w:sz="7" w:space="0"/>
            </w:tcBorders>
            <w:tcW w:w="2018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</w:pPr>
            <w:r>
              <w:rPr>
                <w:color w:val="000000" w:themeColor="text1"/>
                <w:sz w:val="20"/>
                <w:szCs w:val="20"/>
              </w:rPr>
              <w:t xml:space="preserve">Собственные средства</w:t>
            </w:r>
            <w:r/>
          </w:p>
        </w:tc>
      </w:tr>
      <w:tr>
        <w:trPr>
          <w:jc w:val="center"/>
          <w:trHeight w:val="389"/>
        </w:trPr>
        <w:tc>
          <w:tcPr>
            <w:shd w:val="clear" w:color="ffffff" w:fill="ffffff"/>
            <w:tcBorders>
              <w:left w:val="single" w:color="000000" w:sz="7" w:space="0"/>
              <w:right w:val="single" w:color="000000" w:sz="4" w:space="0"/>
            </w:tcBorders>
            <w:tcW w:w="1844" w:type="dxa"/>
            <w:vAlign w:val="center"/>
            <w:vMerge w:val="continue"/>
            <w:textDirection w:val="lrTb"/>
            <w:noWrap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5" w:space="0"/>
            </w:tcBorders>
            <w:tcW w:w="4990" w:type="dxa"/>
            <w:vMerge w:val="restar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Замена участков теплотрассы: котельная-УТ-1, УТ-1-жилой дом № 69, УТ-1-УТ-2, УТ-2-жилой дом № 71 (протяженностью 186,6 м)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393</w:t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571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713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1284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393</w:t>
            </w:r>
            <w:r/>
          </w:p>
        </w:tc>
        <w:tc>
          <w:tcPr>
            <w:tcBorders>
              <w:top w:val="single" w:color="000000" w:sz="7" w:space="0"/>
              <w:left w:val="single" w:color="000000" w:sz="7" w:space="0"/>
              <w:bottom w:val="single" w:color="000000" w:sz="4" w:space="0"/>
              <w:right w:val="single" w:color="000000" w:sz="7" w:space="0"/>
            </w:tcBorders>
            <w:tcW w:w="1568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До 31.12.2024 г.</w:t>
            </w:r>
            <w:r/>
          </w:p>
        </w:tc>
        <w:tc>
          <w:tcPr>
            <w:shd w:val="clear" w:color="ffffff" w:fill="ffffff"/>
            <w:tcBorders>
              <w:top w:val="single" w:color="000000" w:sz="7" w:space="0"/>
              <w:left w:val="single" w:color="000000" w:sz="7" w:space="0"/>
              <w:bottom w:val="single" w:color="000000" w:sz="4" w:space="0"/>
              <w:right w:val="single" w:color="000000" w:sz="7" w:space="0"/>
            </w:tcBorders>
            <w:tcW w:w="2018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Средства Концедента</w:t>
            </w:r>
            <w:r/>
          </w:p>
        </w:tc>
      </w:tr>
      <w:tr>
        <w:trPr>
          <w:jc w:val="center"/>
          <w:trHeight w:val="279"/>
        </w:trPr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01" w:type="dxa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Итого объем инвестиций составляет 394 тыс. руб. –собственные средства, 393 тыс.рублей –средства Концедента</w:t>
            </w:r>
            <w:r/>
          </w:p>
        </w:tc>
      </w:tr>
    </w:tbl>
    <w:p>
      <w:pPr>
        <w:ind w:left="0" w:right="68" w:firstLine="709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Согласно плану мероприятий по реконструкции имущества в составе Объекта Соглашения за счет средств Концедента в 2024 году планируется мод</w:t>
      </w:r>
      <w:r>
        <w:rPr>
          <w:color w:val="000000" w:themeColor="text1"/>
          <w:sz w:val="22"/>
        </w:rPr>
        <w:t xml:space="preserve">ернизация тепловой сети. Срок передачи реконструируемого объекта Концессионеру определен до 31.12.2024 года. Стоимость реализации мероприятий по модернизации  тепловой сети  согласно предварительным подсчетам 393 000   (триста девяносто три тысячи) рублей.</w:t>
      </w:r>
      <w:r/>
    </w:p>
    <w:tbl>
      <w:tblPr>
        <w:tblStyle w:val="964"/>
        <w:tblW w:w="5000" w:type="pct"/>
        <w:tblInd w:w="0" w:type="dxa"/>
        <w:tblLook w:val="04A0" w:firstRow="1" w:lastRow="0" w:firstColumn="1" w:lastColumn="0" w:noHBand="0" w:noVBand="1"/>
      </w:tblPr>
      <w:tblGrid>
        <w:gridCol w:w="4131"/>
        <w:gridCol w:w="6174"/>
        <w:gridCol w:w="4316"/>
        <w:gridCol w:w="6"/>
      </w:tblGrid>
      <w:tr>
        <w:trPr/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b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Субъект РФ – Костромская область</w:t>
            </w:r>
            <w:r/>
          </w:p>
        </w:tc>
        <w:tc>
          <w:tcPr>
            <w:tcW w:w="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b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Индивидуальный предприниматель Скидоненко Виктор Андреевич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Заместитель губернатора Костромской области</w:t>
            </w:r>
            <w:r/>
          </w:p>
        </w:tc>
        <w:tc>
          <w:tcPr>
            <w:tcW w:w="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_______________________В.А. Скидоненко М.П.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 __________________________ И.Е. Малякин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  <w:tc>
          <w:tcPr>
            <w:tcW w:w="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</w:tr>
    </w:tbl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widowControl w:val="off"/>
      </w:pPr>
      <w:r>
        <w:br w:type="page" w:clear="all"/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Приложение № 4</w:t>
      </w:r>
      <w:r/>
    </w:p>
    <w:p>
      <w:pPr>
        <w:ind w:left="11351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pStyle w:val="754"/>
        <w:keepLines w:val="0"/>
        <w:keepNext w:val="0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Техническое описание и ТЭП объектов теплоснабжения, относящихся к Объекту Соглашения</w:t>
      </w:r>
      <w:r/>
    </w:p>
    <w:p>
      <w:pPr>
        <w:widowControl w:val="off"/>
      </w:pPr>
      <w:r/>
      <w:r/>
    </w:p>
    <w:tbl>
      <w:tblPr>
        <w:tblStyle w:val="964"/>
        <w:tblW w:w="5077" w:type="pct"/>
        <w:tblInd w:w="0" w:type="dxa"/>
        <w:tblLayout w:type="fixed"/>
        <w:tblCellMar>
          <w:left w:w="38" w:type="dxa"/>
          <w:top w:w="33" w:type="dxa"/>
          <w:right w:w="31" w:type="dxa"/>
        </w:tblCellMar>
        <w:tblLook w:val="04A0" w:firstRow="1" w:lastRow="0" w:firstColumn="1" w:lastColumn="0" w:noHBand="0" w:noVBand="1"/>
      </w:tblPr>
      <w:tblGrid>
        <w:gridCol w:w="376"/>
        <w:gridCol w:w="1647"/>
        <w:gridCol w:w="1179"/>
        <w:gridCol w:w="1059"/>
        <w:gridCol w:w="1036"/>
        <w:gridCol w:w="525"/>
        <w:gridCol w:w="964"/>
        <w:gridCol w:w="964"/>
        <w:gridCol w:w="1433"/>
        <w:gridCol w:w="743"/>
        <w:gridCol w:w="958"/>
        <w:gridCol w:w="1062"/>
        <w:gridCol w:w="994"/>
        <w:gridCol w:w="1982"/>
      </w:tblGrid>
      <w:tr>
        <w:trPr>
          <w:trHeight w:val="3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6" w:type="pct"/>
            <w:vAlign w:val="center"/>
            <w:vMerge w:val="restart"/>
            <w:textDirection w:val="lrTb"/>
            <w:noWrap/>
          </w:tcPr>
          <w:p>
            <w:pPr>
              <w:ind w:left="72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№ </w:t>
            </w:r>
            <w:r/>
          </w:p>
          <w:p>
            <w:pPr>
              <w:ind w:left="43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2" w:type="pct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57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Наименование объекта </w:t>
            </w:r>
            <w:r/>
          </w:p>
          <w:p>
            <w:pPr>
              <w:ind w:left="103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теплоснабжения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5" w:type="pct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Год ввода в эксплуатацию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5" w:type="pct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57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Балансовая мощность </w:t>
            </w:r>
            <w:r/>
          </w:p>
          <w:p>
            <w:pPr>
              <w:ind w:left="0" w:right="7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источника, </w:t>
            </w:r>
            <w:r/>
          </w:p>
          <w:p>
            <w:pPr>
              <w:ind w:left="0" w:right="6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Гкал/ч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69" w:type="pct"/>
            <w:vAlign w:val="center"/>
            <w:textDirection w:val="lrTb"/>
            <w:noWrap/>
          </w:tcPr>
          <w:p>
            <w:pPr>
              <w:ind w:left="0" w:right="5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Присоединенная тепловая нагрузка, Гкал/ч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" w:type="pct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Температурный график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2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Технико-экономические показатели базового периода (2019г.)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" w:type="pct"/>
            <w:vAlign w:val="center"/>
            <w:vMerge w:val="restart"/>
            <w:textDirection w:val="lrTb"/>
            <w:noWrap/>
          </w:tcPr>
          <w:p>
            <w:pPr>
              <w:ind w:hanging="7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Вид основного/ резервного топлива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5" w:type="pct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Техническое состояние</w:t>
            </w:r>
            <w:r/>
          </w:p>
        </w:tc>
      </w:tr>
      <w:tr>
        <w:trPr>
          <w:trHeight w:val="72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6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2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5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5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7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 отопление и вентиляцию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6" w:type="pct"/>
            <w:vAlign w:val="center"/>
            <w:textDirection w:val="lrTb"/>
            <w:noWrap/>
          </w:tcPr>
          <w:p>
            <w:pPr>
              <w:ind w:left="11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 ГВС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23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Суммарная при расчетной нагрузке ГВС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23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61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Суммарная при средней нагрузке </w:t>
            </w:r>
            <w:r/>
          </w:p>
          <w:p>
            <w:pPr>
              <w:ind w:left="0" w:right="6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ГВС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" w:type="pct"/>
            <w:vAlign w:val="center"/>
            <w:textDirection w:val="lrTb"/>
            <w:noWrap/>
          </w:tcPr>
          <w:p>
            <w:pPr>
              <w:ind w:left="0" w:firstLine="3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Отпуск ТЭ в сеть в горячей воде, тыс. Гкал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21" w:type="pct"/>
            <w:vAlign w:val="center"/>
            <w:textDirection w:val="lrTb"/>
            <w:noWrap/>
          </w:tcPr>
          <w:p>
            <w:pPr>
              <w:ind w:left="90" w:right="58" w:firstLine="4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УРУТ на отпуск ТЭ, кг у.т./Гкал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Удельный расход ЭЭ на отпуск ТЭ, кВт*ч/Гкал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5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</w:tr>
      <w:tr>
        <w:trPr>
          <w:trHeight w:val="3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6" w:type="pct"/>
            <w:vAlign w:val="center"/>
            <w:textDirection w:val="lrTb"/>
            <w:noWrap/>
          </w:tcPr>
          <w:p>
            <w:pPr>
              <w:ind w:left="0" w:right="5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2" w:type="pct"/>
            <w:vAlign w:val="center"/>
            <w:textDirection w:val="lrTb"/>
            <w:noWrap/>
          </w:tcPr>
          <w:p>
            <w:pPr>
              <w:ind w:left="0" w:right="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Котельная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5" w:type="pct"/>
            <w:vAlign w:val="center"/>
            <w:textDirection w:val="lrTb"/>
            <w:noWrap/>
          </w:tcPr>
          <w:p>
            <w:pPr>
              <w:ind w:left="0" w:right="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5" w:type="pct"/>
            <w:vAlign w:val="center"/>
            <w:textDirection w:val="lrTb"/>
            <w:noWrap/>
          </w:tcPr>
          <w:p>
            <w:pPr>
              <w:ind w:left="0" w:right="3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0,78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7" w:type="pct"/>
            <w:vAlign w:val="center"/>
            <w:textDirection w:val="lrTb"/>
            <w:noWrap/>
          </w:tcPr>
          <w:p>
            <w:pPr>
              <w:ind w:left="0" w:right="6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0,227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6" w:type="pct"/>
            <w:vAlign w:val="center"/>
            <w:textDirection w:val="lrTb"/>
            <w:noWrap/>
          </w:tcPr>
          <w:p>
            <w:pPr>
              <w:ind w:left="0" w:right="3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23" w:type="pct"/>
            <w:vAlign w:val="center"/>
            <w:textDirection w:val="lrTb"/>
            <w:noWrap/>
          </w:tcPr>
          <w:p>
            <w:pPr>
              <w:ind w:left="0" w:right="6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0,227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23" w:type="pct"/>
            <w:vAlign w:val="center"/>
            <w:textDirection w:val="lrTb"/>
            <w:noWrap/>
          </w:tcPr>
          <w:p>
            <w:pPr>
              <w:ind w:left="0" w:right="6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0,227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" w:type="pct"/>
            <w:vAlign w:val="center"/>
            <w:textDirection w:val="lrTb"/>
            <w:noWrap/>
          </w:tcPr>
          <w:p>
            <w:pPr>
              <w:ind w:left="0" w:right="6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95°С - 70°С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" w:type="pct"/>
            <w:vAlign w:val="center"/>
            <w:textDirection w:val="lrTb"/>
            <w:noWrap/>
          </w:tcPr>
          <w:p>
            <w:pPr>
              <w:ind w:left="0" w:right="5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0,83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21" w:type="pct"/>
            <w:vAlign w:val="center"/>
            <w:textDirection w:val="lrTb"/>
            <w:noWrap/>
          </w:tcPr>
          <w:p>
            <w:pPr>
              <w:ind w:left="0" w:right="6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196,59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6" w:type="pct"/>
            <w:vAlign w:val="center"/>
            <w:textDirection w:val="lrTb"/>
            <w:noWrap/>
          </w:tcPr>
          <w:p>
            <w:pPr>
              <w:ind w:left="0" w:right="3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" w:type="pct"/>
            <w:vAlign w:val="center"/>
            <w:textDirection w:val="lrTb"/>
            <w:noWrap/>
          </w:tcPr>
          <w:p>
            <w:pPr>
              <w:ind w:left="0" w:right="3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дрова/-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5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Удовлетворительное, работоспособное</w:t>
            </w:r>
            <w:r/>
          </w:p>
        </w:tc>
      </w:tr>
    </w:tbl>
    <w:p>
      <w:pPr>
        <w:ind w:left="38" w:firstLine="0"/>
        <w:jc w:val="left"/>
        <w:spacing w:after="0" w:line="259" w:lineRule="auto"/>
        <w:widowControl w:val="off"/>
        <w:rPr>
          <w:color w:val="000000" w:themeColor="text1"/>
        </w:rPr>
      </w:pPr>
      <w:r>
        <w:rPr>
          <w:color w:val="000000" w:themeColor="text1"/>
        </w:rPr>
      </w:r>
      <w:r/>
    </w:p>
    <w:p>
      <w:pPr>
        <w:ind w:left="38" w:firstLine="0"/>
        <w:jc w:val="left"/>
        <w:spacing w:after="0" w:line="259" w:lineRule="auto"/>
        <w:widowControl w:val="off"/>
        <w:rPr>
          <w:color w:val="000000" w:themeColor="text1"/>
        </w:rPr>
      </w:pPr>
      <w:r>
        <w:rPr>
          <w:color w:val="000000" w:themeColor="text1"/>
        </w:rPr>
      </w:r>
      <w:r/>
    </w:p>
    <w:tbl>
      <w:tblPr>
        <w:tblStyle w:val="964"/>
        <w:tblW w:w="5000" w:type="pct"/>
        <w:tblInd w:w="0" w:type="dxa"/>
        <w:tblLook w:val="04A0" w:firstRow="1" w:lastRow="0" w:firstColumn="1" w:lastColumn="0" w:noHBand="0" w:noVBand="1"/>
      </w:tblPr>
      <w:tblGrid>
        <w:gridCol w:w="7313"/>
        <w:gridCol w:w="7314"/>
      </w:tblGrid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 Индивидуальный предприниматель Скидоненко Виктор Андреевич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________________________В.А. Скидоненко</w:t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</w:tr>
    </w:tbl>
    <w:p>
      <w:pPr>
        <w:ind w:left="38" w:firstLine="0"/>
        <w:jc w:val="left"/>
        <w:spacing w:after="0" w:line="259" w:lineRule="auto"/>
        <w:widowControl w:val="off"/>
        <w:rPr>
          <w:color w:val="000000" w:themeColor="text1"/>
        </w:rPr>
      </w:pPr>
      <w:r>
        <w:rPr>
          <w:color w:val="000000" w:themeColor="text1"/>
        </w:rPr>
        <w:br w:type="page" w:clear="all"/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Приложение № 5</w:t>
      </w:r>
      <w:r/>
    </w:p>
    <w:p>
      <w:pPr>
        <w:ind w:left="11351" w:hanging="11"/>
        <w:jc w:val="left"/>
        <w:spacing w:after="0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pStyle w:val="754"/>
        <w:ind w:left="11" w:right="6" w:hanging="11"/>
        <w:keepLines w:val="0"/>
        <w:keepNext w:val="0"/>
        <w:spacing w:after="0" w:line="240" w:lineRule="auto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Долгосрочные параметры регулирования и плановые значения показателей деятельности Концессионера</w:t>
      </w:r>
      <w:r/>
    </w:p>
    <w:p>
      <w:pPr>
        <w:widowControl w:val="off"/>
      </w:pPr>
      <w:r/>
      <w:r/>
    </w:p>
    <w:tbl>
      <w:tblPr>
        <w:tblStyle w:val="964"/>
        <w:tblW w:w="5000" w:type="pct"/>
        <w:jc w:val="center"/>
        <w:tblInd w:w="0" w:type="dxa"/>
        <w:tblCellMar>
          <w:left w:w="38" w:type="dxa"/>
          <w:top w:w="80" w:type="dxa"/>
          <w:right w:w="7" w:type="dxa"/>
        </w:tblCellMar>
        <w:tblLook w:val="04A0" w:firstRow="1" w:lastRow="0" w:firstColumn="1" w:lastColumn="0" w:noHBand="0" w:noVBand="1"/>
      </w:tblPr>
      <w:tblGrid>
        <w:gridCol w:w="758"/>
        <w:gridCol w:w="1258"/>
        <w:gridCol w:w="695"/>
        <w:gridCol w:w="879"/>
        <w:gridCol w:w="1688"/>
        <w:gridCol w:w="1311"/>
        <w:gridCol w:w="1742"/>
        <w:gridCol w:w="2999"/>
        <w:gridCol w:w="3342"/>
      </w:tblGrid>
      <w:tr>
        <w:trPr>
          <w:jc w:val="center"/>
          <w:trHeight w:val="4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Год действия концессионного 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соглашения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" w:type="pct"/>
            <w:vAlign w:val="center"/>
            <w:vMerge w:val="restart"/>
            <w:textDirection w:val="lrTb"/>
            <w:noWrap/>
          </w:tcPr>
          <w:p>
            <w:pPr>
              <w:ind w:left="0" w:hanging="18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Базовый уровень операционных расходов, тыс.руб.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5" w:type="pct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Индекс эффективности 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операционных расходов, %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19" w:type="pct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Нормативный уровень прибыли, %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Показатели надежности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8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Показатели энергетической эффективности</w:t>
            </w:r>
            <w:r/>
          </w:p>
        </w:tc>
      </w:tr>
      <w:tr>
        <w:trPr>
          <w:jc w:val="center"/>
          <w:trHeight w:val="104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5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9" w:type="pct"/>
            <w:vMerge w:val="continue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прекращений подачи тепловой энергии, теплоносителя в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результате технологических нарушений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источниках тепловой энергии на 1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Гкал/час установленной мощности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прекращений подачи тепловой энергии в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результате технологических нарушений 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тепловых сетях на 1 км тепловой сети 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7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Удельный расход топлива на производство единицы тепловой энергии, </w:t>
            </w:r>
            <w:r/>
          </w:p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кгк.т.т./Гкал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Уровень технологических потерь при передаче тепловой энергии, теплоносителя по тепловым сетям от котельной, Гкал/год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Гкал/кв.м.</w:t>
            </w:r>
            <w:r/>
          </w:p>
        </w:tc>
      </w:tr>
      <w:tr>
        <w:trPr>
          <w:jc w:val="center"/>
          <w:trHeight w:val="3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1093,23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5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9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7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214,29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42,10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1,223</w:t>
            </w:r>
            <w:r/>
          </w:p>
        </w:tc>
      </w:tr>
      <w:tr>
        <w:trPr>
          <w:jc w:val="center"/>
          <w:trHeight w:val="3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5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9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7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197,15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1,215</w:t>
            </w:r>
            <w:r/>
          </w:p>
        </w:tc>
      </w:tr>
      <w:tr>
        <w:trPr>
          <w:jc w:val="center"/>
          <w:trHeight w:val="3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5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9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7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193,20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41,40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1,203</w:t>
            </w:r>
            <w:r/>
          </w:p>
        </w:tc>
      </w:tr>
      <w:tr>
        <w:trPr>
          <w:jc w:val="center"/>
          <w:trHeight w:val="3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5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9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7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191,27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41,40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1,203</w:t>
            </w:r>
            <w:r/>
          </w:p>
        </w:tc>
      </w:tr>
      <w:tr>
        <w:trPr>
          <w:jc w:val="center"/>
          <w:trHeight w:val="3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5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9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7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189,36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41,30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pct"/>
            <w:textDirection w:val="lrTb"/>
            <w:noWrap/>
          </w:tcPr>
          <w:p>
            <w:pPr>
              <w:ind w:left="0" w:firstLine="0"/>
              <w:jc w:val="center"/>
              <w:spacing w:after="0"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1,201</w:t>
            </w:r>
            <w:r/>
          </w:p>
        </w:tc>
      </w:tr>
    </w:tbl>
    <w:p>
      <w:pPr>
        <w:ind w:left="11" w:right="2903" w:hanging="11"/>
        <w:jc w:val="left"/>
        <w:spacing w:after="120" w:line="264" w:lineRule="auto"/>
        <w:widowControl w:val="off"/>
        <w:rPr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 xml:space="preserve">* </w:t>
      </w:r>
      <w:r>
        <w:rPr>
          <w:color w:val="000000" w:themeColor="text1"/>
          <w:sz w:val="20"/>
          <w:szCs w:val="20"/>
        </w:rPr>
        <w:t xml:space="preserve">Базовый уровень операционных расходов может уточняться в зависимости от прогнозов МЭР РФ</w:t>
      </w:r>
      <w:r/>
    </w:p>
    <w:tbl>
      <w:tblPr>
        <w:tblStyle w:val="964"/>
        <w:tblW w:w="5000" w:type="pct"/>
        <w:tblInd w:w="0" w:type="dxa"/>
        <w:tblLook w:val="04A0" w:firstRow="1" w:lastRow="0" w:firstColumn="1" w:lastColumn="0" w:noHBand="0" w:noVBand="1"/>
      </w:tblPr>
      <w:tblGrid>
        <w:gridCol w:w="7313"/>
        <w:gridCol w:w="7314"/>
      </w:tblGrid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 Индивидуальный предприниматель Скидоненко Виктор Андреевич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________________________В.А. Скидоненко</w:t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</w:tr>
    </w:tbl>
    <w:p>
      <w:pPr>
        <w:ind w:left="0" w:right="69" w:firstLine="0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Приложение № 6</w:t>
      </w:r>
      <w:r/>
    </w:p>
    <w:p>
      <w:pPr>
        <w:ind w:left="11351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pStyle w:val="754"/>
        <w:keepLines w:val="0"/>
        <w:keepNext w:val="0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Задание и основные мероприятия по реконструкции имущества в составе Объекта Соглашения</w:t>
      </w:r>
      <w:r/>
    </w:p>
    <w:p>
      <w:pPr>
        <w:widowControl w:val="off"/>
      </w:pPr>
      <w:r/>
      <w:r/>
    </w:p>
    <w:tbl>
      <w:tblPr>
        <w:tblStyle w:val="971"/>
        <w:tblW w:w="5086" w:type="pct"/>
        <w:tblInd w:w="0" w:type="dxa"/>
        <w:tblLayout w:type="fixed"/>
        <w:tblCellMar>
          <w:left w:w="28" w:type="dxa"/>
          <w:top w:w="15" w:type="dxa"/>
          <w:right w:w="5" w:type="dxa"/>
        </w:tblCellMar>
        <w:tblLook w:val="04A0" w:firstRow="1" w:lastRow="0" w:firstColumn="1" w:lastColumn="0" w:noHBand="0" w:noVBand="1"/>
      </w:tblPr>
      <w:tblGrid>
        <w:gridCol w:w="597"/>
        <w:gridCol w:w="2243"/>
        <w:gridCol w:w="3252"/>
        <w:gridCol w:w="3294"/>
        <w:gridCol w:w="709"/>
        <w:gridCol w:w="707"/>
        <w:gridCol w:w="709"/>
        <w:gridCol w:w="567"/>
        <w:gridCol w:w="567"/>
        <w:gridCol w:w="848"/>
        <w:gridCol w:w="1420"/>
      </w:tblGrid>
      <w:tr>
        <w:trPr>
          <w:trHeight w:val="523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97" w:type="dxa"/>
            <w:vAlign w:val="center"/>
            <w:vMerge w:val="restart"/>
            <w:textDirection w:val="lrTb"/>
            <w:noWrap/>
          </w:tcPr>
          <w:p>
            <w:pPr>
              <w:ind w:left="6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№ п/п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2243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Наименование, адрес объекта теплоснабжения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  <w:tcW w:w="3252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60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Мероприятия по реконструкции имущества в составе </w:t>
            </w:r>
            <w:r/>
          </w:p>
          <w:p>
            <w:pPr>
              <w:ind w:left="0" w:right="21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Объекта Соглашения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294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Мероприятия по реконструкции имущества в составе Объекта Соглашения</w:t>
            </w:r>
            <w:r/>
          </w:p>
        </w:tc>
        <w:tc>
          <w:tcPr>
            <w:gridSpan w:val="5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25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Стоимость реализации мероприятий по годам, тыс. руб. 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84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Стоимость всего, тыс.руб. 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right w:val="single" w:color="000000" w:sz="5" w:space="0"/>
            </w:tcBorders>
            <w:tcW w:w="1420" w:type="dxa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Сроки ввода в эксплуатацию Объекта Соглашения</w:t>
            </w:r>
            <w:r/>
          </w:p>
        </w:tc>
      </w:tr>
      <w:tr>
        <w:trPr>
          <w:trHeight w:val="454"/>
        </w:trPr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97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4" w:space="0"/>
            </w:tcBorders>
            <w:tcW w:w="2243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2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5" w:space="0"/>
              <w:right w:val="single" w:color="000000" w:sz="5" w:space="0"/>
            </w:tcBorders>
            <w:tcW w:w="3294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right="21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2024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7" w:type="dxa"/>
            <w:vAlign w:val="center"/>
            <w:textDirection w:val="lrTb"/>
            <w:noWrap/>
          </w:tcPr>
          <w:p>
            <w:pPr>
              <w:ind w:left="0" w:right="21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2025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right="21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2026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right="21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2027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right="22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2028</w:t>
            </w:r>
            <w:r/>
          </w:p>
        </w:tc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848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420" w:type="dxa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</w:tr>
      <w:tr>
        <w:trPr>
          <w:trHeight w:val="593"/>
        </w:trPr>
        <w:tc>
          <w:tcPr>
            <w:tcBorders>
              <w:top w:val="single" w:color="000000" w:sz="5" w:space="0"/>
              <w:left w:val="single" w:color="000000" w:sz="5" w:space="0"/>
              <w:right w:val="single" w:color="000000" w:sz="5" w:space="0"/>
            </w:tcBorders>
            <w:tcW w:w="597" w:type="dxa"/>
            <w:vAlign w:val="center"/>
            <w:vMerge w:val="restart"/>
            <w:textDirection w:val="lrTb"/>
            <w:noWrap/>
          </w:tcPr>
          <w:p>
            <w:pPr>
              <w:ind w:left="0" w:right="7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1</w:t>
            </w:r>
            <w:r/>
          </w:p>
          <w:p>
            <w:pPr>
              <w:ind w:left="0" w:firstLine="0"/>
              <w:jc w:val="left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right w:val="single" w:color="000000" w:sz="4" w:space="0"/>
            </w:tcBorders>
            <w:tcW w:w="2243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Котельная </w:t>
            </w:r>
            <w:r/>
          </w:p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Костромская обл., Шарьинский р-он, д. Ивановское, д.71а</w:t>
            </w:r>
            <w:r/>
          </w:p>
          <w:p>
            <w:pPr>
              <w:ind w:left="0" w:firstLine="0"/>
              <w:jc w:val="left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2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Модернизация системы освещения</w:t>
            </w:r>
            <w:r/>
          </w:p>
        </w:tc>
        <w:tc>
          <w:tcPr>
            <w:tcBorders>
              <w:top w:val="single" w:color="000000" w:sz="5" w:space="0"/>
              <w:left w:val="single" w:color="000000" w:sz="4" w:space="0"/>
              <w:bottom w:val="single" w:color="000000" w:sz="5" w:space="0"/>
              <w:right w:val="single" w:color="000000" w:sz="5" w:space="0"/>
            </w:tcBorders>
            <w:tcW w:w="3294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Установка 6 светодиодных прожекторов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84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420" w:type="dxa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20"/>
                <w:szCs w:val="20"/>
              </w:rPr>
              <w:t xml:space="preserve">До 31.12.2024 г.</w:t>
            </w:r>
            <w:r/>
          </w:p>
        </w:tc>
      </w:tr>
      <w:tr>
        <w:trPr>
          <w:trHeight w:val="396"/>
        </w:trPr>
        <w:tc>
          <w:tcPr>
            <w:tcBorders>
              <w:left w:val="single" w:color="000000" w:sz="5" w:space="0"/>
              <w:right w:val="single" w:color="000000" w:sz="5" w:space="0"/>
            </w:tcBorders>
            <w:tcW w:w="597" w:type="dxa"/>
            <w:vAlign w:val="center"/>
            <w:vMerge w:val="continue"/>
            <w:textDirection w:val="lrTb"/>
            <w:noWrap/>
          </w:tcPr>
          <w:p>
            <w:pPr>
              <w:ind w:left="0" w:right="7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5" w:space="0"/>
              <w:right w:val="single" w:color="000000" w:sz="4" w:space="0"/>
            </w:tcBorders>
            <w:tcW w:w="2243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2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Модернизация оборудования котельной</w:t>
            </w:r>
            <w:r/>
          </w:p>
        </w:tc>
        <w:tc>
          <w:tcPr>
            <w:tcBorders>
              <w:top w:val="single" w:color="000000" w:sz="5" w:space="0"/>
              <w:left w:val="single" w:color="000000" w:sz="4" w:space="0"/>
              <w:bottom w:val="single" w:color="000000" w:sz="5" w:space="0"/>
              <w:right w:val="single" w:color="000000" w:sz="5" w:space="0"/>
            </w:tcBorders>
            <w:tcW w:w="3294" w:type="dxa"/>
            <w:vAlign w:val="center"/>
            <w:textDirection w:val="lrTb"/>
            <w:noWrap/>
          </w:tcPr>
          <w:p>
            <w:pPr>
              <w:ind w:left="0" w:right="2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Замена 4 пускателей циркуляционных насосов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7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84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7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420" w:type="dxa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20"/>
                <w:szCs w:val="20"/>
              </w:rPr>
              <w:t xml:space="preserve">До 31.12.2025 г.</w:t>
            </w:r>
            <w:r/>
          </w:p>
        </w:tc>
      </w:tr>
      <w:tr>
        <w:trPr>
          <w:trHeight w:val="659"/>
        </w:trPr>
        <w:tc>
          <w:tcPr>
            <w:tcBorders>
              <w:left w:val="single" w:color="000000" w:sz="5" w:space="0"/>
              <w:right w:val="single" w:color="000000" w:sz="5" w:space="0"/>
            </w:tcBorders>
            <w:tcW w:w="597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5" w:space="0"/>
              <w:right w:val="single" w:color="000000" w:sz="4" w:space="0"/>
            </w:tcBorders>
            <w:tcW w:w="2243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2" w:type="dxa"/>
            <w:vAlign w:val="center"/>
            <w:vMerge w:val="continue"/>
            <w:textDirection w:val="lrTb"/>
            <w:noWrap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000000" w:sz="5" w:space="0"/>
              <w:left w:val="single" w:color="000000" w:sz="4" w:space="0"/>
              <w:bottom w:val="single" w:color="000000" w:sz="5" w:space="0"/>
              <w:right w:val="single" w:color="000000" w:sz="5" w:space="0"/>
            </w:tcBorders>
            <w:tcW w:w="3294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Установка водоподготовительной установки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86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86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84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195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420" w:type="dxa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20"/>
                <w:szCs w:val="20"/>
              </w:rPr>
              <w:t xml:space="preserve">До 31.12.2028 г.</w:t>
            </w:r>
            <w:r/>
          </w:p>
        </w:tc>
      </w:tr>
      <w:tr>
        <w:trPr>
          <w:trHeight w:val="593"/>
        </w:trPr>
        <w:tc>
          <w:tcPr>
            <w:tcBorders>
              <w:left w:val="single" w:color="000000" w:sz="5" w:space="0"/>
              <w:right w:val="single" w:color="000000" w:sz="5" w:space="0"/>
            </w:tcBorders>
            <w:tcW w:w="597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5" w:space="0"/>
              <w:right w:val="single" w:color="000000" w:sz="4" w:space="0"/>
            </w:tcBorders>
            <w:tcW w:w="2243" w:type="dxa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2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Модернизация тепловой сети</w:t>
            </w:r>
            <w:r/>
          </w:p>
        </w:tc>
        <w:tc>
          <w:tcPr>
            <w:tcBorders>
              <w:top w:val="single" w:color="000000" w:sz="5" w:space="0"/>
              <w:left w:val="single" w:color="000000" w:sz="4" w:space="0"/>
              <w:bottom w:val="single" w:color="000000" w:sz="5" w:space="0"/>
              <w:right w:val="single" w:color="000000" w:sz="5" w:space="0"/>
            </w:tcBorders>
            <w:tcW w:w="3294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Замена участка теплотрассы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63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63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63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84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189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420" w:type="dxa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20"/>
                <w:szCs w:val="20"/>
              </w:rPr>
              <w:t xml:space="preserve">До 31.12.2027 г.</w:t>
            </w:r>
            <w:r/>
          </w:p>
        </w:tc>
      </w:tr>
      <w:tr>
        <w:trPr>
          <w:trHeight w:val="335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none" w:color="000000" w:sz="4" w:space="0"/>
            </w:tcBorders>
            <w:tcW w:w="597" w:type="dxa"/>
            <w:vAlign w:val="center"/>
            <w:vMerge w:val="continue"/>
            <w:textDirection w:val="lrTb"/>
            <w:noWrap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4" w:space="0"/>
            </w:tcBorders>
            <w:tcW w:w="2243" w:type="dxa"/>
            <w:vAlign w:val="center"/>
            <w:vMerge w:val="continue"/>
            <w:textDirection w:val="lrTb"/>
            <w:noWrap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52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Модернизация тепловой сети</w:t>
            </w:r>
            <w:r/>
          </w:p>
        </w:tc>
        <w:tc>
          <w:tcPr>
            <w:tcBorders>
              <w:top w:val="single" w:color="000000" w:sz="5" w:space="0"/>
              <w:left w:val="single" w:color="000000" w:sz="4" w:space="0"/>
              <w:bottom w:val="single" w:color="000000" w:sz="5" w:space="0"/>
              <w:right w:val="single" w:color="000000" w:sz="5" w:space="0"/>
            </w:tcBorders>
            <w:tcW w:w="3294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Замена участка теплотрассы</w:t>
            </w:r>
            <w:r/>
          </w:p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393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84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393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420" w:type="dxa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До 31.12.2024 г</w:t>
            </w:r>
            <w:r/>
          </w:p>
        </w:tc>
      </w:tr>
      <w:tr>
        <w:trPr>
          <w:trHeight w:val="435"/>
        </w:trPr>
        <w:tc>
          <w:tcPr>
            <w:gridSpan w:val="2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none" w:color="000000" w:sz="4" w:space="0"/>
            </w:tcBorders>
            <w:tcW w:w="2840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ВСЕГО по Объекту Соглашения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5" w:space="0"/>
              <w:right w:val="none" w:color="000000" w:sz="4" w:space="0"/>
            </w:tcBorders>
            <w:tcW w:w="3252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5" w:space="0"/>
              <w:left w:val="none" w:color="000000" w:sz="4" w:space="0"/>
              <w:bottom w:val="single" w:color="000000" w:sz="5" w:space="0"/>
              <w:right w:val="single" w:color="000000" w:sz="5" w:space="0"/>
            </w:tcBorders>
            <w:tcW w:w="3294" w:type="dxa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396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70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709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149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149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67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23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84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787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420" w:type="dxa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</w:r>
            <w:r/>
          </w:p>
        </w:tc>
      </w:tr>
    </w:tbl>
    <w:p>
      <w:pPr>
        <w:ind w:left="0" w:right="69" w:firstLine="0"/>
        <w:jc w:val="lef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tbl>
      <w:tblPr>
        <w:tblStyle w:val="964"/>
        <w:tblW w:w="5000" w:type="pct"/>
        <w:tblInd w:w="0" w:type="dxa"/>
        <w:tblLook w:val="04A0" w:firstRow="1" w:lastRow="0" w:firstColumn="1" w:lastColumn="0" w:noHBand="0" w:noVBand="1"/>
      </w:tblPr>
      <w:tblGrid>
        <w:gridCol w:w="4117"/>
        <w:gridCol w:w="6182"/>
        <w:gridCol w:w="4322"/>
        <w:gridCol w:w="6"/>
      </w:tblGrid>
      <w:tr>
        <w:trPr/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b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Субъект РФ – Костромская область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b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Индивидуальный предприниматель Скидоненко Виктор Андреевич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Заместитель губернатора Костромской области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________________В.А. Скидоненко</w:t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 И.Е. Малякин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  <w:tc>
          <w:tcPr>
            <w:tcW w:w="1665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</w:tr>
    </w:tbl>
    <w:p>
      <w:pPr>
        <w:ind w:left="0" w:right="69" w:firstLine="0"/>
        <w:jc w:val="lef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0" w:right="69" w:firstLine="0"/>
        <w:jc w:val="lef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10" w:right="69" w:hanging="10"/>
        <w:jc w:val="lef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Приложение № 7</w:t>
      </w:r>
      <w:r/>
    </w:p>
    <w:p>
      <w:pPr>
        <w:ind w:left="11351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pStyle w:val="754"/>
        <w:keepLines w:val="0"/>
        <w:keepNext w:val="0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Перечень сформированных земельных участков для целей размещения имущества, передаваемого по Соглашению</w:t>
      </w:r>
      <w:r/>
    </w:p>
    <w:p>
      <w:pPr>
        <w:widowControl w:val="off"/>
      </w:pPr>
      <w:r/>
      <w:r/>
    </w:p>
    <w:tbl>
      <w:tblPr>
        <w:tblStyle w:val="964"/>
        <w:tblW w:w="5000" w:type="pct"/>
        <w:tblInd w:w="0" w:type="dxa"/>
        <w:tblCellMar>
          <w:top w:w="31" w:type="dxa"/>
          <w:right w:w="2" w:type="dxa"/>
        </w:tblCellMar>
        <w:tblLook w:val="04A0" w:firstRow="1" w:lastRow="0" w:firstColumn="1" w:lastColumn="0" w:noHBand="0" w:noVBand="1"/>
      </w:tblPr>
      <w:tblGrid>
        <w:gridCol w:w="180"/>
        <w:gridCol w:w="1443"/>
        <w:gridCol w:w="1225"/>
        <w:gridCol w:w="1003"/>
        <w:gridCol w:w="420"/>
        <w:gridCol w:w="3494"/>
        <w:gridCol w:w="1978"/>
        <w:gridCol w:w="2604"/>
        <w:gridCol w:w="1055"/>
        <w:gridCol w:w="1237"/>
      </w:tblGrid>
      <w:tr>
        <w:trPr>
          <w:trHeight w:val="182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15" w:type="pct"/>
            <w:vAlign w:val="center"/>
            <w:vMerge w:val="restart"/>
            <w:textDirection w:val="lrTb"/>
            <w:noWrap/>
          </w:tcPr>
          <w:p>
            <w:pPr>
              <w:ind w:left="83" w:firstLine="0"/>
              <w:spacing w:after="2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</w:t>
            </w:r>
            <w:r/>
          </w:p>
          <w:p>
            <w:pPr>
              <w:ind w:left="54" w:firstLine="0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п/п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09" w:type="pct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Кадастровый номер зем.участка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86" w:type="pct"/>
            <w:vAlign w:val="center"/>
            <w:vMerge w:val="restart"/>
            <w:textDirection w:val="lrTb"/>
            <w:noWrap/>
          </w:tcPr>
          <w:p>
            <w:pPr>
              <w:ind w:left="41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Кадастровая стоимость ЗУ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85" w:type="pct"/>
            <w:vAlign w:val="center"/>
            <w:vMerge w:val="restart"/>
            <w:textDirection w:val="lrTb"/>
            <w:noWrap/>
          </w:tcPr>
          <w:p>
            <w:pPr>
              <w:ind w:left="88" w:firstLine="0"/>
              <w:jc w:val="left"/>
              <w:spacing w:after="2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Уточненная площадь </w:t>
            </w:r>
            <w:r/>
          </w:p>
          <w:p>
            <w:pPr>
              <w:ind w:left="6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ЗУ</w:t>
            </w:r>
            <w:r/>
          </w:p>
        </w:tc>
        <w:tc>
          <w:tcPr>
            <w:gridSpan w:val="6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405" w:type="pct"/>
            <w:vAlign w:val="center"/>
            <w:textDirection w:val="lrTb"/>
            <w:noWrap/>
          </w:tcPr>
          <w:p>
            <w:pPr>
              <w:ind w:left="13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Объекты недвижимости концессионного соглашения, расположенные на земельном участке.</w:t>
            </w:r>
            <w:r/>
          </w:p>
        </w:tc>
      </w:tr>
      <w:tr>
        <w:trPr>
          <w:trHeight w:val="749"/>
        </w:trPr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15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09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86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85" w:type="pct"/>
            <w:vAlign w:val="center"/>
            <w:vMerge w:val="continue"/>
            <w:textDirection w:val="lrTb"/>
            <w:noWrap/>
          </w:tcPr>
          <w:p>
            <w:pPr>
              <w:ind w:left="0" w:firstLine="0"/>
              <w:jc w:val="left"/>
              <w:spacing w:after="16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23" w:type="pct"/>
            <w:vAlign w:val="center"/>
            <w:textDirection w:val="lrTb"/>
            <w:noWrap/>
          </w:tcPr>
          <w:p>
            <w:pPr>
              <w:ind w:left="0" w:right="195" w:firstLine="0"/>
              <w:jc w:val="right"/>
              <w:spacing w:after="2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Инв.№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970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Описание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69" w:type="pct"/>
            <w:vAlign w:val="center"/>
            <w:textDirection w:val="lrTb"/>
            <w:noWrap/>
          </w:tcPr>
          <w:p>
            <w:pPr>
              <w:ind w:left="27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Наименование объекта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44" w:type="pct"/>
            <w:vAlign w:val="center"/>
            <w:textDirection w:val="lrTb"/>
            <w:noWrap/>
          </w:tcPr>
          <w:p>
            <w:pPr>
              <w:ind w:left="97" w:firstLine="0"/>
              <w:jc w:val="left"/>
              <w:spacing w:after="2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Местоположение </w:t>
            </w:r>
            <w:r/>
          </w:p>
          <w:p>
            <w:pPr>
              <w:ind w:left="4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(адрес)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43" w:type="pct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Тех.параметры объекта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56" w:type="pct"/>
            <w:vAlign w:val="center"/>
            <w:textDirection w:val="lrTb"/>
            <w:noWrap/>
          </w:tcPr>
          <w:p>
            <w:pPr>
              <w:ind w:left="26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Кадастровый номер здания</w:t>
            </w:r>
            <w:r/>
          </w:p>
        </w:tc>
      </w:tr>
      <w:tr>
        <w:trPr>
          <w:trHeight w:val="749"/>
        </w:trPr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15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09" w:type="pct"/>
            <w:vAlign w:val="center"/>
            <w:textDirection w:val="lrTb"/>
            <w:noWrap/>
          </w:tcPr>
          <w:p>
            <w:pPr>
              <w:ind w:left="10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44:24:050501:329</w:t>
            </w:r>
            <w:r/>
          </w:p>
        </w:tc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86" w:type="pct"/>
            <w:vAlign w:val="center"/>
            <w:textDirection w:val="lrTb"/>
            <w:noWrap/>
          </w:tcPr>
          <w:p>
            <w:pPr>
              <w:ind w:left="12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24025,21 руб.</w:t>
            </w:r>
            <w:r/>
          </w:p>
        </w:tc>
        <w:tc>
          <w:tcPr>
            <w:tcBorders>
              <w:top w:val="none" w:color="000000" w:sz="4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85" w:type="pct"/>
            <w:vAlign w:val="center"/>
            <w:textDirection w:val="lrTb"/>
            <w:noWrap/>
          </w:tcPr>
          <w:p>
            <w:pPr>
              <w:ind w:left="13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407 +/- 7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23" w:type="pct"/>
            <w:vAlign w:val="center"/>
            <w:textDirection w:val="lrTb"/>
            <w:noWrap/>
          </w:tcPr>
          <w:p>
            <w:pPr>
              <w:ind w:left="11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13943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970" w:type="pct"/>
            <w:vAlign w:val="center"/>
            <w:textDirection w:val="lrTb"/>
            <w:noWrap/>
          </w:tcPr>
          <w:p>
            <w:pPr>
              <w:ind w:left="2" w:firstLine="0"/>
              <w:jc w:val="left"/>
              <w:spacing w:after="2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Отдельностоящее (Костромская обл., Шарьинский р-он, д. Ивановское, д.71а)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69" w:type="pct"/>
            <w:vAlign w:val="center"/>
            <w:textDirection w:val="lrTb"/>
            <w:noWrap/>
          </w:tcPr>
          <w:p>
            <w:pPr>
              <w:ind w:left="2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Здание (Нежилое здание, здание котельной)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44" w:type="pct"/>
            <w:vAlign w:val="center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Костромская обл., Шарьинский р-он, д. Ивановское, д.71а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443" w:type="pct"/>
            <w:vAlign w:val="center"/>
            <w:textDirection w:val="lrTb"/>
            <w:noWrap/>
          </w:tcPr>
          <w:p>
            <w:pPr>
              <w:ind w:left="2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Площадь 85,5м</w:t>
            </w:r>
            <w:r>
              <w:rPr>
                <w:color w:val="000000" w:themeColor="text1"/>
                <w:sz w:val="20"/>
                <w:szCs w:val="20"/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556" w:type="pct"/>
            <w:vAlign w:val="center"/>
            <w:textDirection w:val="lrTb"/>
            <w:noWrap/>
          </w:tcPr>
          <w:p>
            <w:pPr>
              <w:ind w:left="2" w:firstLine="0"/>
              <w:jc w:val="center"/>
              <w:spacing w:after="0" w:line="259" w:lineRule="auto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44:24:050501:207</w:t>
            </w:r>
            <w:r/>
          </w:p>
        </w:tc>
      </w:tr>
    </w:tbl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tbl>
      <w:tblPr>
        <w:tblStyle w:val="964"/>
        <w:tblW w:w="5000" w:type="pct"/>
        <w:tblInd w:w="0" w:type="dxa"/>
        <w:tblLook w:val="04A0" w:firstRow="1" w:lastRow="0" w:firstColumn="1" w:lastColumn="0" w:noHBand="0" w:noVBand="1"/>
      </w:tblPr>
      <w:tblGrid>
        <w:gridCol w:w="7313"/>
        <w:gridCol w:w="7314"/>
      </w:tblGrid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 Индивидуальный предприниматель Скидоненко Виктор Андреевич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________________________В.А. Скидоненко</w:t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</w:tr>
    </w:tbl>
    <w:p>
      <w:pPr>
        <w:ind w:left="0" w:firstLine="0"/>
        <w:jc w:val="left"/>
        <w:spacing w:after="16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 w:clear="all"/>
      </w:r>
      <w:r/>
    </w:p>
    <w:p>
      <w:pPr>
        <w:ind w:left="10" w:right="69" w:hanging="10"/>
        <w:jc w:val="righ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Приложение № 8</w:t>
      </w:r>
      <w:r/>
    </w:p>
    <w:p>
      <w:pPr>
        <w:ind w:left="11351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pStyle w:val="754"/>
        <w:keepLines w:val="0"/>
        <w:keepNext w:val="0"/>
        <w:widowControl w:val="off"/>
        <w:rPr>
          <w:color w:val="000000" w:themeColor="text1"/>
          <w:sz w:val="23"/>
        </w:rPr>
      </w:pPr>
      <w:r>
        <w:rPr>
          <w:color w:val="000000" w:themeColor="text1"/>
          <w:sz w:val="23"/>
        </w:rPr>
        <w:t xml:space="preserve">Описание и ТЭП объектов теплоснабжения при возврате Объекта Соглашения Концеденту по истечении срока действия Соглашения</w:t>
      </w:r>
      <w:r/>
    </w:p>
    <w:p>
      <w:pPr>
        <w:widowControl w:val="off"/>
      </w:pPr>
      <w:r/>
      <w:r/>
    </w:p>
    <w:tbl>
      <w:tblPr>
        <w:tblStyle w:val="964"/>
        <w:tblW w:w="15196" w:type="dxa"/>
        <w:tblInd w:w="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43" w:type="dxa"/>
          <w:top w:w="44" w:type="dxa"/>
        </w:tblCellMar>
        <w:tblLook w:val="04A0" w:firstRow="1" w:lastRow="0" w:firstColumn="1" w:lastColumn="0" w:noHBand="0" w:noVBand="1"/>
      </w:tblPr>
      <w:tblGrid>
        <w:gridCol w:w="695"/>
        <w:gridCol w:w="3111"/>
        <w:gridCol w:w="3111"/>
        <w:gridCol w:w="3111"/>
        <w:gridCol w:w="2398"/>
        <w:gridCol w:w="2770"/>
      </w:tblGrid>
      <w:tr>
        <w:trPr>
          <w:trHeight w:val="557"/>
        </w:trPr>
        <w:tc>
          <w:tcPr>
            <w:tcW w:w="695" w:type="dxa"/>
            <w:vAlign w:val="center"/>
            <w:textDirection w:val="lrTb"/>
            <w:noWrap/>
          </w:tcPr>
          <w:p>
            <w:pPr>
              <w:ind w:left="50" w:firstLine="0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9"/>
              </w:rPr>
              <w:t xml:space="preserve">№ п/п</w:t>
            </w:r>
            <w:r/>
          </w:p>
        </w:tc>
        <w:tc>
          <w:tcPr>
            <w:tcW w:w="311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9"/>
              </w:rPr>
              <w:t xml:space="preserve">Наименование объекта теплоснабжения</w:t>
            </w:r>
            <w:r/>
          </w:p>
        </w:tc>
        <w:tc>
          <w:tcPr>
            <w:tcW w:w="3111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9"/>
              </w:rPr>
              <w:t xml:space="preserve">Величина необходимой тепловой мощности, Гкал/ч</w:t>
            </w:r>
            <w:r/>
          </w:p>
        </w:tc>
        <w:tc>
          <w:tcPr>
            <w:tcW w:w="3111" w:type="dxa"/>
            <w:vAlign w:val="center"/>
            <w:textDirection w:val="lrTb"/>
            <w:noWrap/>
          </w:tcPr>
          <w:p>
            <w:pPr>
              <w:ind w:left="0" w:right="39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9"/>
              </w:rPr>
              <w:t xml:space="preserve">Температурный график</w:t>
            </w:r>
            <w:r/>
          </w:p>
        </w:tc>
        <w:tc>
          <w:tcPr>
            <w:tcW w:w="2398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9"/>
              </w:rPr>
              <w:t xml:space="preserve">Вид основного/ резервного топлива</w:t>
            </w:r>
            <w:r/>
          </w:p>
        </w:tc>
        <w:tc>
          <w:tcPr>
            <w:tcW w:w="2770" w:type="dxa"/>
            <w:vAlign w:val="center"/>
            <w:textDirection w:val="lrTb"/>
            <w:noWrap/>
          </w:tcPr>
          <w:p>
            <w:pPr>
              <w:ind w:left="0" w:right="41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9"/>
              </w:rPr>
              <w:t xml:space="preserve">Техническое состояние</w:t>
            </w:r>
            <w:r/>
          </w:p>
        </w:tc>
      </w:tr>
      <w:tr>
        <w:trPr>
          <w:trHeight w:val="463"/>
        </w:trPr>
        <w:tc>
          <w:tcPr>
            <w:tcW w:w="695" w:type="dxa"/>
            <w:vAlign w:val="center"/>
            <w:textDirection w:val="lrTb"/>
            <w:noWrap/>
          </w:tcPr>
          <w:p>
            <w:pPr>
              <w:ind w:left="0" w:right="38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19"/>
              </w:rPr>
              <w:t xml:space="preserve">1</w:t>
            </w:r>
            <w:r/>
          </w:p>
        </w:tc>
        <w:tc>
          <w:tcPr>
            <w:tcW w:w="3111" w:type="dxa"/>
            <w:vAlign w:val="center"/>
            <w:textDirection w:val="lrTb"/>
            <w:noWrap/>
          </w:tcPr>
          <w:p>
            <w:pPr>
              <w:ind w:left="0" w:right="42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19"/>
              </w:rPr>
              <w:t xml:space="preserve">Котельная</w:t>
            </w:r>
            <w:r/>
          </w:p>
        </w:tc>
        <w:tc>
          <w:tcPr>
            <w:tcW w:w="3111" w:type="dxa"/>
            <w:vAlign w:val="center"/>
            <w:textDirection w:val="lrTb"/>
            <w:noWrap/>
          </w:tcPr>
          <w:p>
            <w:pPr>
              <w:ind w:left="0" w:right="39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19"/>
              </w:rPr>
              <w:t xml:space="preserve">0,227</w:t>
            </w:r>
            <w:r/>
          </w:p>
        </w:tc>
        <w:tc>
          <w:tcPr>
            <w:tcW w:w="3111" w:type="dxa"/>
            <w:vAlign w:val="center"/>
            <w:textDirection w:val="lrTb"/>
            <w:noWrap/>
          </w:tcPr>
          <w:p>
            <w:pPr>
              <w:ind w:left="0" w:right="38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19"/>
              </w:rPr>
              <w:t xml:space="preserve">95°С - 70°С</w:t>
            </w:r>
            <w:r/>
          </w:p>
        </w:tc>
        <w:tc>
          <w:tcPr>
            <w:tcW w:w="2398" w:type="dxa"/>
            <w:vAlign w:val="center"/>
            <w:textDirection w:val="lrTb"/>
            <w:noWrap/>
          </w:tcPr>
          <w:p>
            <w:pPr>
              <w:ind w:left="0" w:right="39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19"/>
              </w:rPr>
              <w:t xml:space="preserve">дрова/-</w:t>
            </w:r>
            <w:r/>
          </w:p>
        </w:tc>
        <w:tc>
          <w:tcPr>
            <w:tcW w:w="2770" w:type="dxa"/>
            <w:vAlign w:val="center"/>
            <w:textDirection w:val="lrTb"/>
            <w:noWrap/>
          </w:tcPr>
          <w:p>
            <w:pPr>
              <w:ind w:left="0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19"/>
              </w:rPr>
              <w:t xml:space="preserve">Удовлетворительное, работоспособное</w:t>
            </w:r>
            <w:r/>
          </w:p>
        </w:tc>
      </w:tr>
    </w:tbl>
    <w:p>
      <w:pPr>
        <w:ind w:left="461" w:right="-11" w:hanging="10"/>
        <w:jc w:val="right"/>
        <w:spacing w:after="24" w:line="253" w:lineRule="auto"/>
        <w:widowControl w:val="off"/>
        <w:rPr>
          <w:color w:val="000000" w:themeColor="text1"/>
          <w:sz w:val="21"/>
        </w:rPr>
      </w:pPr>
      <w:r>
        <w:rPr>
          <w:color w:val="000000" w:themeColor="text1"/>
          <w:sz w:val="21"/>
        </w:rPr>
      </w:r>
      <w:r/>
    </w:p>
    <w:p>
      <w:pPr>
        <w:ind w:left="0" w:firstLine="0"/>
        <w:jc w:val="left"/>
        <w:spacing w:after="16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tbl>
      <w:tblPr>
        <w:tblStyle w:val="964"/>
        <w:tblW w:w="5000" w:type="pct"/>
        <w:tblInd w:w="0" w:type="dxa"/>
        <w:tblLook w:val="04A0" w:firstRow="1" w:lastRow="0" w:firstColumn="1" w:lastColumn="0" w:noHBand="0" w:noVBand="1"/>
      </w:tblPr>
      <w:tblGrid>
        <w:gridCol w:w="7313"/>
        <w:gridCol w:w="7314"/>
      </w:tblGrid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 Индивидуальный предприниматель Скидоненко Виктор Андреевич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________________________В.А. Скидоненко</w:t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</w:tr>
    </w:tbl>
    <w:p>
      <w:pPr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widowControl w:val="off"/>
        <w:rPr>
          <w:color w:val="000000" w:themeColor="text1"/>
          <w:sz w:val="22"/>
        </w:rPr>
        <w:sectPr>
          <w:footerReference w:type="default" r:id="rId14"/>
          <w:footerReference w:type="even" r:id="rId15"/>
          <w:footerReference w:type="first" r:id="rId16"/>
          <w:footnotePr/>
          <w:endnotePr/>
          <w:type w:val="nextPage"/>
          <w:pgSz w:w="16838" w:h="11906" w:orient="landscape"/>
          <w:pgMar w:top="710" w:right="1078" w:bottom="706" w:left="1133" w:header="720" w:footer="720" w:gutter="0"/>
          <w:cols w:num="1" w:sep="0" w:space="720" w:equalWidth="1"/>
          <w:docGrid w:linePitch="360"/>
        </w:sectPr>
      </w:pPr>
      <w:r>
        <w:rPr>
          <w:color w:val="000000" w:themeColor="text1"/>
          <w:sz w:val="22"/>
        </w:rPr>
      </w:r>
      <w:r/>
    </w:p>
    <w:p>
      <w:pPr>
        <w:ind w:left="0" w:right="-11" w:hanging="10"/>
        <w:jc w:val="right"/>
        <w:spacing w:after="24" w:line="253" w:lineRule="auto"/>
        <w:widowControl w:val="off"/>
        <w:rPr>
          <w:color w:val="000000" w:themeColor="text1"/>
        </w:rPr>
      </w:pPr>
      <w:r>
        <w:rPr>
          <w:color w:val="000000" w:themeColor="text1"/>
          <w:sz w:val="22"/>
        </w:rPr>
        <w:t xml:space="preserve">Приложение № 9 </w:t>
      </w:r>
      <w:r/>
    </w:p>
    <w:p>
      <w:pPr>
        <w:ind w:left="7382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ind w:left="10" w:right="56" w:hanging="10"/>
        <w:jc w:val="center"/>
        <w:spacing w:after="0" w:line="267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pStyle w:val="754"/>
        <w:keepLines w:val="0"/>
        <w:keepNext w:val="0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Форма акта </w:t>
      </w:r>
      <w:r/>
    </w:p>
    <w:p>
      <w:pPr>
        <w:pStyle w:val="754"/>
        <w:keepLines w:val="0"/>
        <w:keepNext w:val="0"/>
        <w:widowControl w:val="off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приёма-передачи имущества по Соглашению </w:t>
      </w:r>
      <w:r/>
    </w:p>
    <w:p>
      <w:pPr>
        <w:ind w:left="10" w:right="57" w:hanging="10"/>
        <w:jc w:val="center"/>
        <w:spacing w:after="0" w:line="267" w:lineRule="auto"/>
        <w:widowControl w:val="off"/>
        <w:rPr>
          <w:color w:val="000000" w:themeColor="text1"/>
        </w:rPr>
      </w:pPr>
      <w:r>
        <w:rPr>
          <w:color w:val="000000" w:themeColor="text1"/>
          <w:sz w:val="22"/>
        </w:rPr>
        <w:t xml:space="preserve">№ ___ от «__»____________20   года </w:t>
      </w:r>
      <w:r/>
    </w:p>
    <w:p>
      <w:pPr>
        <w:ind w:left="0" w:firstLine="0"/>
        <w:jc w:val="left"/>
        <w:spacing w:after="211" w:line="269" w:lineRule="auto"/>
        <w:widowControl w:val="off"/>
        <w:tabs>
          <w:tab w:val="center" w:pos="2124" w:leader="none"/>
          <w:tab w:val="center" w:pos="2832" w:leader="none"/>
          <w:tab w:val="center" w:pos="3540" w:leader="none"/>
          <w:tab w:val="center" w:pos="4249" w:leader="none"/>
          <w:tab w:val="center" w:pos="4957" w:leader="none"/>
          <w:tab w:val="center" w:pos="5665" w:leader="none"/>
          <w:tab w:val="center" w:pos="6373" w:leader="none"/>
          <w:tab w:val="center" w:pos="7081" w:leader="none"/>
          <w:tab w:val="center" w:pos="7789" w:leader="none"/>
          <w:tab w:val="center" w:pos="8497" w:leader="none"/>
          <w:tab w:val="center" w:pos="9205" w:leader="none"/>
          <w:tab w:val="center" w:pos="9913" w:leader="none"/>
          <w:tab w:val="center" w:pos="10622" w:leader="none"/>
          <w:tab w:val="center" w:pos="11330" w:leader="none"/>
          <w:tab w:val="right" w:pos="14628" w:leader="none"/>
        </w:tabs>
        <w:rPr>
          <w:color w:val="000000" w:themeColor="text1"/>
        </w:rPr>
      </w:pPr>
      <w:r>
        <w:rPr>
          <w:color w:val="000000" w:themeColor="text1"/>
          <w:sz w:val="22"/>
        </w:rPr>
        <w:t xml:space="preserve">г. Шарья</w:t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  <w:t xml:space="preserve"> «__» ___________ 20__ г. </w:t>
      </w:r>
      <w:r/>
    </w:p>
    <w:p>
      <w:pPr>
        <w:ind w:left="0" w:right="40" w:firstLine="709"/>
        <w:spacing w:after="4" w:line="26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Муниципальное образование Шарьинский муниципальный район, зарегистрированное Главным управлением Министерства юстиции Российской Федерации по Центральному федеральному округу (свидетельство регист</w:t>
      </w:r>
      <w:r>
        <w:rPr>
          <w:color w:val="000000" w:themeColor="text1"/>
          <w:sz w:val="22"/>
        </w:rPr>
        <w:t xml:space="preserve">рации Устава муниципального образования от 01.12.2005 года № RU 445240002005001), в лице главы Шарьинского муниципального района, Глушакова Николая Серафимовича, действующего на основании Устава, именуемый в  дальнейшем  Концедентом,  с   одной стороны, и </w:t>
      </w:r>
      <w:r/>
    </w:p>
    <w:p>
      <w:pPr>
        <w:ind w:left="0" w:right="40" w:firstLine="709"/>
        <w:spacing w:after="4" w:line="269" w:lineRule="auto"/>
        <w:widowControl w:val="off"/>
        <w:rPr>
          <w:color w:val="000000" w:themeColor="text1"/>
        </w:rPr>
      </w:pPr>
      <w:r>
        <w:rPr>
          <w:color w:val="000000" w:themeColor="text1"/>
          <w:sz w:val="22"/>
        </w:rPr>
        <w:t xml:space="preserve">Индивидуальный предприниматель Скидоненко Виктор Андреевич</w:t>
      </w:r>
      <w:r>
        <w:rPr>
          <w:color w:val="000000" w:themeColor="text1"/>
          <w:sz w:val="22"/>
        </w:rPr>
        <w:t xml:space="preserve"> (свидетельство о регистрации № 44 000903329 от 04 октября 2016г. выданное Инспекцией Федеральной налоговой службы по г. Костроме), именуемый в дальнейшем Концессионером, с другой стороны, именуемые также Сторонами составили настоящий акт о нижеследующем: </w:t>
      </w:r>
      <w:r/>
    </w:p>
    <w:p>
      <w:pPr>
        <w:ind w:left="0" w:right="40" w:firstLine="709"/>
        <w:spacing w:after="4" w:line="269" w:lineRule="auto"/>
        <w:widowControl w:val="off"/>
        <w:rPr>
          <w:color w:val="000000" w:themeColor="text1"/>
        </w:rPr>
      </w:pPr>
      <w:r>
        <w:rPr>
          <w:color w:val="000000" w:themeColor="text1"/>
          <w:sz w:val="22"/>
        </w:rPr>
        <w:t xml:space="preserve">Концедент передает, а Концессионер принимает следующее имущество:   </w:t>
      </w:r>
      <w:r/>
    </w:p>
    <w:p>
      <w:pPr>
        <w:ind w:left="0" w:right="2" w:firstLine="0"/>
        <w:jc w:val="center"/>
        <w:spacing w:after="21" w:line="259" w:lineRule="auto"/>
        <w:widowControl w:val="off"/>
        <w:rPr>
          <w:color w:val="000000" w:themeColor="text1"/>
        </w:rPr>
      </w:pPr>
      <w:r>
        <w:rPr>
          <w:color w:val="000000" w:themeColor="text1"/>
        </w:rPr>
      </w:r>
      <w:r/>
    </w:p>
    <w:p>
      <w:pPr>
        <w:ind w:left="10" w:right="57" w:hanging="10"/>
        <w:jc w:val="center"/>
        <w:spacing w:after="0" w:line="267" w:lineRule="auto"/>
        <w:widowControl w:val="off"/>
        <w:rPr>
          <w:color w:val="000000" w:themeColor="text1"/>
        </w:rPr>
      </w:pPr>
      <w:r>
        <w:rPr>
          <w:color w:val="000000" w:themeColor="text1"/>
          <w:sz w:val="22"/>
        </w:rPr>
        <w:t xml:space="preserve">Недвижимое имущество (здания, строения, сооружения) </w:t>
      </w:r>
      <w:r/>
    </w:p>
    <w:tbl>
      <w:tblPr>
        <w:tblStyle w:val="964"/>
        <w:tblW w:w="5000" w:type="pct"/>
        <w:tblInd w:w="0" w:type="dxa"/>
        <w:tblCellMar>
          <w:top w:w="7" w:type="dxa"/>
          <w:right w:w="8" w:type="dxa"/>
        </w:tblCellMar>
        <w:tblLook w:val="04A0" w:firstRow="1" w:lastRow="0" w:firstColumn="1" w:lastColumn="0" w:noHBand="0" w:noVBand="1"/>
      </w:tblPr>
      <w:tblGrid>
        <w:gridCol w:w="453"/>
        <w:gridCol w:w="3121"/>
        <w:gridCol w:w="1771"/>
        <w:gridCol w:w="1075"/>
        <w:gridCol w:w="4081"/>
      </w:tblGrid>
      <w:tr>
        <w:trPr>
          <w:trHeight w:val="5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" w:type="pct"/>
            <w:textDirection w:val="lrTb"/>
            <w:noWrap/>
          </w:tcPr>
          <w:p>
            <w:pPr>
              <w:ind w:left="233" w:firstLine="0"/>
              <w:jc w:val="left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№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pct"/>
            <w:textDirection w:val="lrTb"/>
            <w:noWrap/>
          </w:tcPr>
          <w:p>
            <w:pPr>
              <w:ind w:left="508" w:right="440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объекта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pct"/>
            <w:textDirection w:val="lrTb"/>
            <w:noWrap/>
          </w:tcPr>
          <w:p>
            <w:pPr>
              <w:ind w:left="8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Адрес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1" w:type="pct"/>
            <w:textDirection w:val="lrTb"/>
            <w:noWrap/>
          </w:tcPr>
          <w:p>
            <w:pPr>
              <w:ind w:left="10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Площадь, </w:t>
            </w:r>
            <w:r/>
          </w:p>
          <w:p>
            <w:pPr>
              <w:ind w:left="8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м</w:t>
            </w:r>
            <w:r>
              <w:rPr>
                <w:color w:val="000000" w:themeColor="text1"/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pct"/>
            <w:textDirection w:val="lrTb"/>
            <w:noWrap/>
          </w:tcPr>
          <w:p>
            <w:pPr>
              <w:ind w:left="5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Фактическое состояние объекта </w:t>
            </w:r>
            <w:r/>
          </w:p>
        </w:tc>
      </w:tr>
      <w:tr>
        <w:trPr>
          <w:trHeight w:val="2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" w:type="pct"/>
            <w:textDirection w:val="lrTb"/>
            <w:noWrap/>
          </w:tcPr>
          <w:p>
            <w:pPr>
              <w:ind w:left="60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pct"/>
            <w:textDirection w:val="lrTb"/>
            <w:noWrap/>
          </w:tcPr>
          <w:p>
            <w:pPr>
              <w:ind w:left="68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pct"/>
            <w:textDirection w:val="lrTb"/>
            <w:noWrap/>
          </w:tcPr>
          <w:p>
            <w:pPr>
              <w:ind w:left="61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1" w:type="pct"/>
            <w:textDirection w:val="lrTb"/>
            <w:noWrap/>
          </w:tcPr>
          <w:p>
            <w:pPr>
              <w:ind w:left="63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pct"/>
            <w:textDirection w:val="lrTb"/>
            <w:noWrap/>
          </w:tcPr>
          <w:p>
            <w:pPr>
              <w:ind w:left="63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</w:tbl>
    <w:p>
      <w:pPr>
        <w:ind w:left="0" w:firstLine="0"/>
        <w:jc w:val="left"/>
        <w:spacing w:after="18" w:line="259" w:lineRule="auto"/>
        <w:widowControl w:val="off"/>
        <w:rPr>
          <w:color w:val="000000" w:themeColor="text1"/>
        </w:rPr>
      </w:pPr>
      <w:r>
        <w:rPr>
          <w:color w:val="000000" w:themeColor="text1"/>
        </w:rPr>
      </w:r>
      <w:r/>
    </w:p>
    <w:p>
      <w:pPr>
        <w:ind w:left="10" w:right="58" w:hanging="10"/>
        <w:jc w:val="center"/>
        <w:spacing w:after="0" w:line="267" w:lineRule="auto"/>
        <w:widowControl w:val="off"/>
        <w:rPr>
          <w:color w:val="000000" w:themeColor="text1"/>
        </w:rPr>
      </w:pPr>
      <w:r>
        <w:rPr>
          <w:color w:val="000000" w:themeColor="text1"/>
          <w:sz w:val="22"/>
        </w:rPr>
        <w:t xml:space="preserve">Движимое имущество  </w:t>
      </w:r>
      <w:r/>
    </w:p>
    <w:tbl>
      <w:tblPr>
        <w:tblStyle w:val="964"/>
        <w:tblW w:w="5000" w:type="pct"/>
        <w:tblInd w:w="0" w:type="dxa"/>
        <w:tblCellMar>
          <w:left w:w="233" w:type="dxa"/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577"/>
        <w:gridCol w:w="3164"/>
        <w:gridCol w:w="7095"/>
      </w:tblGrid>
      <w:tr>
        <w:trPr>
          <w:trHeight w:val="2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" w:type="pct"/>
            <w:textDirection w:val="lrTb"/>
            <w:noWrap/>
          </w:tcPr>
          <w:p>
            <w:pPr>
              <w:ind w:left="0" w:firstLine="0"/>
              <w:jc w:val="left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№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pct"/>
            <w:textDirection w:val="lrTb"/>
            <w:noWrap/>
          </w:tcPr>
          <w:p>
            <w:pPr>
              <w:ind w:left="0" w:right="114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объекта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pct"/>
            <w:textDirection w:val="lrTb"/>
            <w:noWrap/>
          </w:tcPr>
          <w:p>
            <w:pPr>
              <w:ind w:left="0" w:right="117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Фактическое состояние объекта </w:t>
            </w:r>
            <w:r/>
          </w:p>
        </w:tc>
      </w:tr>
      <w:tr>
        <w:trPr>
          <w:trHeight w:val="2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" w:type="pct"/>
            <w:textDirection w:val="lrTb"/>
            <w:noWrap/>
          </w:tcPr>
          <w:p>
            <w:pPr>
              <w:ind w:left="0" w:right="65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pct"/>
            <w:textDirection w:val="lrTb"/>
            <w:noWrap/>
          </w:tcPr>
          <w:p>
            <w:pPr>
              <w:ind w:left="0" w:right="63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pct"/>
            <w:textDirection w:val="lrTb"/>
            <w:noWrap/>
          </w:tcPr>
          <w:p>
            <w:pPr>
              <w:ind w:left="0" w:right="65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  <w:tr>
        <w:trPr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" w:type="pct"/>
            <w:textDirection w:val="lrTb"/>
            <w:noWrap/>
          </w:tcPr>
          <w:p>
            <w:pPr>
              <w:ind w:left="0" w:right="65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pct"/>
            <w:textDirection w:val="lrTb"/>
            <w:noWrap/>
          </w:tcPr>
          <w:p>
            <w:pPr>
              <w:ind w:left="0" w:right="63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pct"/>
            <w:textDirection w:val="lrTb"/>
            <w:noWrap/>
          </w:tcPr>
          <w:p>
            <w:pPr>
              <w:ind w:left="0" w:right="65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  <w:tr>
        <w:trPr>
          <w:trHeight w:val="2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" w:type="pct"/>
            <w:textDirection w:val="lrTb"/>
            <w:noWrap/>
          </w:tcPr>
          <w:p>
            <w:pPr>
              <w:ind w:left="0" w:right="65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pct"/>
            <w:textDirection w:val="lrTb"/>
            <w:noWrap/>
          </w:tcPr>
          <w:p>
            <w:pPr>
              <w:ind w:left="0" w:right="63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pct"/>
            <w:textDirection w:val="lrTb"/>
            <w:noWrap/>
          </w:tcPr>
          <w:p>
            <w:pPr>
              <w:ind w:left="0" w:right="65" w:firstLine="0"/>
              <w:jc w:val="center"/>
              <w:spacing w:after="0" w:line="259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</w:tbl>
    <w:p>
      <w:pPr>
        <w:ind w:left="0" w:firstLine="709"/>
        <w:jc w:val="left"/>
        <w:spacing w:after="0" w:line="269" w:lineRule="auto"/>
        <w:widowControl w:val="off"/>
        <w:tabs>
          <w:tab w:val="center" w:pos="4905" w:leader="none"/>
        </w:tabs>
        <w:rPr>
          <w:color w:val="000000" w:themeColor="text1"/>
        </w:rPr>
      </w:pPr>
      <w:r>
        <w:rPr>
          <w:color w:val="000000" w:themeColor="text1"/>
          <w:sz w:val="22"/>
        </w:rPr>
        <w:t xml:space="preserve">Концессионер не имеет претензий по состоянию передаваемого в концессию имущества. </w:t>
      </w:r>
      <w:r/>
    </w:p>
    <w:p>
      <w:pPr>
        <w:ind w:left="0" w:firstLine="709"/>
        <w:spacing w:after="0" w:line="269" w:lineRule="auto"/>
        <w:widowControl w:val="off"/>
        <w:rPr>
          <w:color w:val="000000" w:themeColor="text1"/>
        </w:rPr>
      </w:pPr>
      <w:r>
        <w:rPr>
          <w:color w:val="000000" w:themeColor="text1"/>
          <w:sz w:val="22"/>
        </w:rPr>
        <w:t xml:space="preserve">Настоящий акт приёма-передачи имущества составлен в четырёх экземплярах, имеющих одинаковую ю</w:t>
      </w:r>
      <w:r>
        <w:rPr>
          <w:color w:val="000000" w:themeColor="text1"/>
          <w:sz w:val="22"/>
        </w:rPr>
        <w:t xml:space="preserve">ридическую силу - по одному для каждой из сторон; третий экземпляр - для департамента земельных и имущественных отношений, четвёртый экземпляр - для управления Федеральной службы государственной регистрации, кадастра и картографии по Костромской области.  </w:t>
      </w:r>
      <w:r/>
    </w:p>
    <w:p>
      <w:pPr>
        <w:ind w:left="0" w:firstLine="0"/>
        <w:jc w:val="left"/>
        <w:spacing w:after="0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tbl>
      <w:tblPr>
        <w:tblStyle w:val="964"/>
        <w:tblW w:w="5000" w:type="pct"/>
        <w:tblInd w:w="5" w:type="dxa"/>
        <w:tblLook w:val="04A0" w:firstRow="1" w:lastRow="0" w:firstColumn="1" w:lastColumn="0" w:noHBand="0" w:noVBand="1"/>
      </w:tblPr>
      <w:tblGrid>
        <w:gridCol w:w="6377"/>
        <w:gridCol w:w="4266"/>
      </w:tblGrid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b/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b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Индивидуальный предприниматель Скидоненко Виктор Андреевич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________________________В.А. Скидоненко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</w:tr>
    </w:tbl>
    <w:p>
      <w:pPr>
        <w:ind w:left="0" w:firstLine="0"/>
        <w:jc w:val="left"/>
        <w:spacing w:after="716" w:line="25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0" w:right="-11" w:hanging="10"/>
        <w:jc w:val="right"/>
        <w:spacing w:after="24" w:line="253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0" w:right="-11" w:hanging="10"/>
        <w:jc w:val="right"/>
        <w:spacing w:after="24" w:line="253" w:lineRule="auto"/>
        <w:widowControl w:val="off"/>
        <w:rPr>
          <w:color w:val="000000" w:themeColor="text1"/>
        </w:rPr>
      </w:pPr>
      <w:r>
        <w:rPr>
          <w:color w:val="000000" w:themeColor="text1"/>
          <w:sz w:val="22"/>
        </w:rPr>
        <w:t xml:space="preserve">Приложение № 10 </w:t>
      </w:r>
      <w:r/>
    </w:p>
    <w:p>
      <w:pPr>
        <w:ind w:left="7382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widowControl w:val="off"/>
        <w:rPr>
          <w:color w:val="000000" w:themeColor="text1"/>
        </w:rPr>
      </w:pPr>
      <w:r>
        <w:rPr>
          <w:color w:val="000000" w:themeColor="text1"/>
        </w:rPr>
      </w:r>
      <w:r/>
    </w:p>
    <w:p>
      <w:pPr>
        <w:jc w:val="center"/>
        <w:spacing w:line="23" w:lineRule="atLeast"/>
        <w:widowControl w:val="off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Форма Акта </w:t>
      </w:r>
      <w:r/>
    </w:p>
    <w:p>
      <w:pPr>
        <w:jc w:val="center"/>
        <w:spacing w:line="23" w:lineRule="atLeast"/>
        <w:widowControl w:val="off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 исполнении Концессионером своих обязательств по реконструкции имущества в составе Объекта Соглашения</w:t>
      </w:r>
      <w:r/>
    </w:p>
    <w:p>
      <w:pPr>
        <w:jc w:val="right"/>
        <w:spacing w:line="23" w:lineRule="atLeast"/>
        <w:widowControl w:val="off"/>
        <w:rPr>
          <w:color w:val="000000" w:themeColor="text1"/>
        </w:rPr>
      </w:pPr>
      <w:r>
        <w:rPr>
          <w:color w:val="000000" w:themeColor="text1"/>
        </w:rPr>
      </w:r>
      <w:r/>
    </w:p>
    <w:p>
      <w:pPr>
        <w:jc w:val="center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Акт </w:t>
      </w:r>
      <w:r/>
    </w:p>
    <w:p>
      <w:pPr>
        <w:jc w:val="center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об исполнении Концессионером своих обязательств по реконструкции имущества в составе Объекта Соглашения</w:t>
      </w:r>
      <w:r/>
    </w:p>
    <w:p>
      <w:pPr>
        <w:jc w:val="center"/>
        <w:widowControl w:val="off"/>
        <w:rPr>
          <w:color w:val="000000" w:themeColor="text1"/>
        </w:rPr>
      </w:pPr>
      <w:r>
        <w:rPr>
          <w:color w:val="000000" w:themeColor="text1"/>
        </w:rPr>
      </w:r>
      <w:r/>
    </w:p>
    <w:p>
      <w:pPr>
        <w:ind w:left="0" w:firstLine="0"/>
        <w:jc w:val="left"/>
        <w:spacing w:after="211" w:line="269" w:lineRule="auto"/>
        <w:widowControl w:val="off"/>
        <w:tabs>
          <w:tab w:val="center" w:pos="2124" w:leader="none"/>
          <w:tab w:val="center" w:pos="2832" w:leader="none"/>
          <w:tab w:val="center" w:pos="3540" w:leader="none"/>
          <w:tab w:val="center" w:pos="4249" w:leader="none"/>
          <w:tab w:val="center" w:pos="4957" w:leader="none"/>
          <w:tab w:val="center" w:pos="5665" w:leader="none"/>
          <w:tab w:val="center" w:pos="6373" w:leader="none"/>
          <w:tab w:val="center" w:pos="7081" w:leader="none"/>
          <w:tab w:val="center" w:pos="7789" w:leader="none"/>
          <w:tab w:val="center" w:pos="8497" w:leader="none"/>
          <w:tab w:val="center" w:pos="9205" w:leader="none"/>
          <w:tab w:val="center" w:pos="9913" w:leader="none"/>
          <w:tab w:val="center" w:pos="10622" w:leader="none"/>
          <w:tab w:val="center" w:pos="11330" w:leader="none"/>
          <w:tab w:val="right" w:pos="14628" w:leader="none"/>
        </w:tabs>
        <w:rPr>
          <w:color w:val="000000" w:themeColor="text1"/>
        </w:rPr>
      </w:pPr>
      <w:r>
        <w:rPr>
          <w:color w:val="000000" w:themeColor="text1"/>
          <w:sz w:val="22"/>
        </w:rPr>
        <w:t xml:space="preserve">г. Шарья  </w:t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  <w:t xml:space="preserve">              «__» ___________ 20__ г. </w:t>
      </w:r>
      <w:r/>
    </w:p>
    <w:p>
      <w:pPr>
        <w:ind w:firstLine="567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ind w:left="0" w:right="40" w:firstLine="709"/>
        <w:spacing w:after="4" w:line="26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Муниципальное образование Шарьинский муниципальный район, зарегистрированное Главным управлением Министерства юстиции Российской Федерации по Центральному федеральному округу (свидетельство регистр</w:t>
      </w:r>
      <w:r>
        <w:rPr>
          <w:color w:val="000000" w:themeColor="text1"/>
          <w:sz w:val="22"/>
        </w:rPr>
        <w:t xml:space="preserve">ации Устава муниципального образования от 01.12.2005 года № RU 445240002005001), в лице главы Шарьинского муниципального района, Глушакова Николая Серафимовича, действующего на основании  Устава, именуемый в  дальнейшем  Концедентом,  с   одной стороны, и </w:t>
      </w:r>
      <w:r/>
    </w:p>
    <w:p>
      <w:pPr>
        <w:ind w:left="0" w:right="40" w:firstLine="709"/>
        <w:spacing w:after="4" w:line="269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Индивидуальный предприниматель Скидоненко Виктор Андреевич (свидетельство о регистрации № 44 000903329 от 04 октября 2016г. выданно</w:t>
      </w:r>
      <w:r>
        <w:rPr>
          <w:color w:val="000000" w:themeColor="text1"/>
          <w:sz w:val="22"/>
        </w:rPr>
        <w:t xml:space="preserve">е Инспекцией Федеральной налоговой службы по г. Костроме), именуемый в дальнейшем Концессионером, с другой стороны, именуемые также Сторонами составили настоящий акт о том, что в соответствии с Концессионным соглашением № ____ от «___» ___________ 20__ г.:</w:t>
      </w:r>
      <w:r/>
    </w:p>
    <w:p>
      <w:pPr>
        <w:pStyle w:val="974"/>
        <w:ind w:left="0" w:firstLine="567"/>
        <w:jc w:val="both"/>
        <w:widowControl w:val="off"/>
        <w:rPr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1. Концессионер выполнил, а Концедент принял следующие работы в отношении Объекта Концессионного соглашения:</w:t>
      </w:r>
      <w:r/>
    </w:p>
    <w:p>
      <w:pPr>
        <w:pStyle w:val="974"/>
        <w:ind w:left="426"/>
        <w:jc w:val="both"/>
        <w:widowControl w:val="off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  <w:r/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709"/>
        <w:gridCol w:w="2234"/>
        <w:gridCol w:w="2268"/>
        <w:gridCol w:w="1418"/>
        <w:gridCol w:w="1842"/>
        <w:gridCol w:w="1883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/>
          </w:tcPr>
          <w:p>
            <w:pPr>
              <w:jc w:val="center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№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34" w:type="dxa"/>
            <w:textDirection w:val="lrTb"/>
            <w:noWrap/>
          </w:tcPr>
          <w:p>
            <w:pPr>
              <w:ind w:left="6" w:firstLine="0"/>
              <w:jc w:val="center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Наименование объекта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/>
          </w:tcPr>
          <w:p>
            <w:pPr>
              <w:ind w:left="6" w:firstLine="0"/>
              <w:jc w:val="center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Наименование работ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8" w:type="dxa"/>
            <w:textDirection w:val="lrTb"/>
            <w:noWrap/>
          </w:tcPr>
          <w:p>
            <w:pPr>
              <w:ind w:left="6" w:firstLine="0"/>
              <w:jc w:val="center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Единица измерения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42" w:type="dxa"/>
            <w:textDirection w:val="lrTb"/>
            <w:noWrap/>
          </w:tcPr>
          <w:p>
            <w:pPr>
              <w:ind w:left="6" w:firstLine="0"/>
              <w:jc w:val="center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Объем/количество выполненных работ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/>
          </w:tcPr>
          <w:p>
            <w:pPr>
              <w:ind w:left="6" w:firstLine="0"/>
              <w:jc w:val="center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Стоимость (руб.), в т.ч. НДС </w:t>
            </w:r>
            <w:r/>
          </w:p>
        </w:tc>
      </w:tr>
      <w:tr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/>
          </w:tcPr>
          <w:p>
            <w:pPr>
              <w:ind w:left="720"/>
              <w:jc w:val="center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1.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34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8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42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  <w:tr>
        <w:trPr>
          <w:trHeight w:val="45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/>
          </w:tcPr>
          <w:p>
            <w:pPr>
              <w:ind w:left="720"/>
              <w:jc w:val="center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2.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34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8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42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/>
          </w:tcPr>
          <w:p>
            <w:pPr>
              <w:ind w:left="720"/>
              <w:jc w:val="center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34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8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42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471" w:type="dxa"/>
            <w:textDirection w:val="lrTb"/>
            <w:noWrap/>
          </w:tcPr>
          <w:p>
            <w:pPr>
              <w:ind w:left="720"/>
              <w:jc w:val="right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 xml:space="preserve">ИТОГО</w:t>
            </w:r>
            <w:r>
              <w:rPr>
                <w:color w:val="000000" w:themeColor="text1"/>
                <w:sz w:val="22"/>
                <w:lang w:val="en-US"/>
              </w:rPr>
              <w:t xml:space="preserve">: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/>
          </w:tcPr>
          <w:p>
            <w:pPr>
              <w:ind w:left="720"/>
              <w:spacing w:line="23" w:lineRule="atLeas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</w:tbl>
    <w:p>
      <w:pPr>
        <w:pStyle w:val="974"/>
        <w:ind w:left="0" w:firstLine="567"/>
        <w:jc w:val="both"/>
        <w:widowControl w:val="off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2. Работы выполнены в полном объеме и в установленный срок. Концедент к объему, качеству и срокам выполнения работ претензий не имеет.</w:t>
      </w:r>
      <w:r/>
    </w:p>
    <w:p>
      <w:pPr>
        <w:pStyle w:val="974"/>
        <w:ind w:left="0" w:firstLine="567"/>
        <w:jc w:val="both"/>
        <w:widowControl w:val="off"/>
        <w:rPr>
          <w:bCs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3. Настоящий акт составлен в 2 экземплярах, по 1 экземпляру для каждой из Сторон.</w:t>
      </w:r>
      <w:r/>
    </w:p>
    <w:p>
      <w:pPr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tbl>
      <w:tblPr>
        <w:tblStyle w:val="964"/>
        <w:tblW w:w="5000" w:type="pct"/>
        <w:tblInd w:w="5" w:type="dxa"/>
        <w:tblLook w:val="04A0" w:firstRow="1" w:lastRow="0" w:firstColumn="1" w:lastColumn="0" w:noHBand="0" w:noVBand="1"/>
      </w:tblPr>
      <w:tblGrid>
        <w:gridCol w:w="6377"/>
        <w:gridCol w:w="4266"/>
      </w:tblGrid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 xml:space="preserve">Концедент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widowControl w:val="off"/>
              <w:rPr>
                <w:b/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Глава Шарьинского муниципального района</w:t>
            </w:r>
            <w:r>
              <w:rPr>
                <w:rFonts w:eastAsia="Calibri"/>
                <w:color w:val="000000" w:themeColor="text1"/>
                <w:lang w:eastAsia="ar-SA"/>
              </w:rPr>
              <w:tab/>
            </w:r>
            <w:r/>
          </w:p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__________________________Н.С. Глушаков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  </w:t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  <w:t xml:space="preserve">Концессионер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b/>
                <w:color w:val="000000" w:themeColor="text1"/>
                <w:lang w:eastAsia="ar-SA"/>
              </w:rPr>
            </w:pPr>
            <w:r>
              <w:rPr>
                <w:rFonts w:eastAsia="Calibri"/>
                <w:b/>
                <w:color w:val="000000" w:themeColor="text1"/>
                <w:lang w:eastAsia="ar-SA"/>
              </w:rPr>
            </w:r>
            <w:r/>
          </w:p>
        </w:tc>
      </w:tr>
      <w:tr>
        <w:trPr/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Индивидуальный предприниматель Скидоненко Виктор Андреевич</w:t>
            </w:r>
            <w:r/>
          </w:p>
        </w:tc>
        <w:tc>
          <w:tcPr>
            <w:tcW w:w="2500" w:type="pct"/>
            <w:textDirection w:val="lrTb"/>
            <w:noWrap/>
          </w:tcPr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________________________В.А. Скидоненко</w:t>
            </w:r>
            <w:r/>
          </w:p>
          <w:p>
            <w:pPr>
              <w:ind w:left="0" w:firstLine="0"/>
              <w:jc w:val="left"/>
              <w:spacing w:after="0" w:line="240" w:lineRule="auto"/>
              <w:widowControl w:val="off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 xml:space="preserve">М.П.</w:t>
            </w:r>
            <w:r/>
          </w:p>
        </w:tc>
      </w:tr>
    </w:tbl>
    <w:p>
      <w:pPr>
        <w:ind w:left="0" w:right="-11" w:hanging="10"/>
        <w:jc w:val="right"/>
        <w:spacing w:after="24" w:line="253" w:lineRule="auto"/>
        <w:widowControl w:val="off"/>
        <w:rPr>
          <w:color w:val="000000" w:themeColor="text1"/>
        </w:rPr>
      </w:pPr>
      <w:r>
        <w:rPr>
          <w:color w:val="000000" w:themeColor="text1"/>
        </w:rPr>
        <w:br w:type="page" w:clear="all"/>
      </w:r>
      <w:r>
        <w:rPr>
          <w:color w:val="000000" w:themeColor="text1"/>
          <w:sz w:val="22"/>
        </w:rPr>
        <w:t xml:space="preserve">Приложение № 11 </w:t>
      </w:r>
      <w:r/>
    </w:p>
    <w:p>
      <w:pPr>
        <w:ind w:left="7382" w:hanging="11"/>
        <w:jc w:val="left"/>
        <w:spacing w:after="273" w:line="264" w:lineRule="auto"/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к Концессионному соглашению от "___" _____________ 20__г.</w:t>
      </w:r>
      <w:r/>
    </w:p>
    <w:p>
      <w:pPr>
        <w:widowControl w:val="off"/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jc w:val="center"/>
        <w:widowControl w:val="off"/>
        <w:rPr>
          <w:color w:val="000000" w:themeColor="text1"/>
        </w:rPr>
      </w:pPr>
      <w:r>
        <w:rPr>
          <w:b/>
          <w:color w:val="000000" w:themeColor="text1"/>
          <w:sz w:val="22"/>
        </w:rPr>
        <w:tab/>
      </w:r>
      <w:r>
        <w:rPr>
          <w:b/>
          <w:color w:val="000000" w:themeColor="text1"/>
        </w:rPr>
        <w:t xml:space="preserve">Техническое обследование объектов теплоснабжения, относящихся к Объекту Соглашения</w:t>
      </w:r>
      <w:r/>
    </w:p>
    <w:p>
      <w:pPr>
        <w:widowControl w:val="off"/>
        <w:tabs>
          <w:tab w:val="left" w:pos="4284" w:leader="none"/>
        </w:tabs>
        <w:rPr>
          <w:color w:val="000000" w:themeColor="text1"/>
          <w:sz w:val="22"/>
        </w:rPr>
      </w:pPr>
      <w:r>
        <w:rPr>
          <w:color w:val="000000" w:themeColor="text1"/>
          <w:sz w:val="22"/>
        </w:rPr>
      </w:r>
      <w:r/>
    </w:p>
    <w:p>
      <w:pPr>
        <w:widowControl w:val="off"/>
        <w:tabs>
          <w:tab w:val="left" w:pos="4284" w:leader="none"/>
        </w:tabs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Проводится в момент заключения концессионного соглашения.</w:t>
      </w:r>
      <w:r/>
    </w:p>
    <w:sectPr>
      <w:footnotePr/>
      <w:endnotePr/>
      <w:type w:val="nextPage"/>
      <w:pgSz w:w="11906" w:h="16838" w:orient="portrait"/>
      <w:pgMar w:top="1134" w:right="709" w:bottom="1077" w:left="709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Wingdings">
    <w:panose1 w:val="05000000000000000000"/>
  </w:font>
  <w:font w:name="Segoe UI">
    <w:panose1 w:val="020B0502040204020203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4" w:firstLine="0"/>
      <w:jc w:val="right"/>
      <w:spacing w:after="0" w:line="259" w:lineRule="auto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 xml:space="preserve">4</w:t>
    </w:r>
    <w:r>
      <w:rPr>
        <w:sz w:val="22"/>
      </w:rP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4" w:firstLine="0"/>
      <w:jc w:val="right"/>
      <w:spacing w:after="0" w:line="259" w:lineRule="auto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 xml:space="preserve">16</w:t>
    </w:r>
    <w:r>
      <w:rPr>
        <w:sz w:val="22"/>
      </w:rPr>
      <w:fldChar w:fldCharType="end"/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4" w:firstLine="0"/>
      <w:jc w:val="right"/>
      <w:spacing w:after="0" w:line="259" w:lineRule="auto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 xml:space="preserve">1</w:t>
    </w:r>
    <w:r>
      <w:rPr>
        <w:sz w:val="22"/>
      </w:rPr>
      <w:fldChar w:fldCharType="end"/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firstLine="0"/>
      <w:jc w:val="left"/>
      <w:spacing w:after="160" w:line="259" w:lineRule="auto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firstLine="0"/>
      <w:jc w:val="left"/>
      <w:spacing w:after="160" w:line="259" w:lineRule="auto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firstLine="0"/>
      <w:jc w:val="left"/>
      <w:spacing w:after="160" w:line="259" w:lineRule="auto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jc w:val="right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jc w:val="right"/>
      <w:rPr>
        <w:b/>
      </w:rPr>
    </w:pPr>
    <w:r>
      <w:rPr>
        <w:b/>
      </w:rPr>
      <w:t xml:space="preserve">Проект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lowerRoman"/>
      <w:isLgl w:val="false"/>
      <w:suff w:val="tab"/>
      <w:lvlText w:val="%3"/>
      <w:lvlJc w:val="left"/>
      <w:pPr>
        <w:ind w:left="1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lowerRoman"/>
      <w:isLgl w:val="false"/>
      <w:suff w:val="tab"/>
      <w:lvlText w:val="%3"/>
      <w:lvlJc w:val="left"/>
      <w:pPr>
        <w:ind w:left="1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lowerRoman"/>
      <w:isLgl w:val="false"/>
      <w:suff w:val="tab"/>
      <w:lvlText w:val="%3"/>
      <w:lvlJc w:val="left"/>
      <w:pPr>
        <w:ind w:left="1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1795"/>
      </w:pPr>
      <w:rPr>
        <w:rFonts w:ascii="Times New Roman" w:hAnsi="Times New Roman" w:eastAsia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lowerRoman"/>
      <w:isLgl w:val="false"/>
      <w:suff w:val="tab"/>
      <w:lvlText w:val="%3"/>
      <w:lvlJc w:val="left"/>
      <w:pPr>
        <w:ind w:left="1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3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1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8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3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1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8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decimal"/>
      <w:isLgl w:val="false"/>
      <w:suff w:val="tab"/>
      <w:lvlText w:val="%4"/>
      <w:lvlJc w:val="left"/>
      <w:pPr>
        <w:ind w:left="1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2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4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3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>
    <w:multiLevelType w:val="hybridMultilevel"/>
    <w:lvl w:ilvl="0">
      <w:start w:val="13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lowerRoman"/>
      <w:isLgl w:val="false"/>
      <w:suff w:val="tab"/>
      <w:lvlText w:val="%3"/>
      <w:lvlJc w:val="left"/>
      <w:pPr>
        <w:ind w:left="1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1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3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1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8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9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9" w:default="1">
    <w:name w:val="Normal"/>
    <w:qFormat/>
    <w:pPr>
      <w:ind w:left="7" w:firstLine="698"/>
      <w:jc w:val="both"/>
      <w:spacing w:after="14" w:line="268" w:lineRule="auto"/>
    </w:pPr>
    <w:rPr>
      <w:rFonts w:ascii="Times New Roman" w:hAnsi="Times New Roman" w:eastAsia="Times New Roman" w:cs="Times New Roman"/>
      <w:color w:val="000000"/>
      <w:sz w:val="24"/>
    </w:rPr>
  </w:style>
  <w:style w:type="paragraph" w:styleId="750">
    <w:name w:val="Heading 1"/>
    <w:basedOn w:val="749"/>
    <w:next w:val="749"/>
    <w:link w:val="979"/>
    <w:uiPriority w:val="99"/>
    <w:qFormat/>
    <w:pPr>
      <w:ind w:left="0" w:firstLine="0"/>
      <w:jc w:val="center"/>
      <w:spacing w:before="108" w:after="108" w:line="240" w:lineRule="auto"/>
      <w:outlineLvl w:val="0"/>
    </w:pPr>
    <w:rPr>
      <w:rFonts w:ascii="Arial" w:hAnsi="Arial" w:cs="Arial" w:eastAsiaTheme="minorEastAsia"/>
      <w:b/>
      <w:bCs/>
      <w:color w:val="26282f"/>
      <w:szCs w:val="24"/>
    </w:rPr>
  </w:style>
  <w:style w:type="character" w:styleId="751" w:default="1">
    <w:name w:val="Default Paragraph Font"/>
    <w:uiPriority w:val="1"/>
    <w:semiHidden/>
    <w:unhideWhenUsed/>
  </w:style>
  <w:style w:type="table" w:styleId="75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3" w:default="1">
    <w:name w:val="No List"/>
    <w:uiPriority w:val="99"/>
    <w:semiHidden/>
    <w:unhideWhenUsed/>
  </w:style>
  <w:style w:type="paragraph" w:styleId="754" w:customStyle="1">
    <w:name w:val="Heading 1"/>
    <w:next w:val="749"/>
    <w:link w:val="963"/>
    <w:uiPriority w:val="9"/>
    <w:unhideWhenUsed/>
    <w:qFormat/>
    <w:pPr>
      <w:ind w:left="10" w:right="7" w:hanging="10"/>
      <w:jc w:val="center"/>
      <w:keepLines/>
      <w:keepNext/>
      <w:spacing w:after="4" w:line="271" w:lineRule="auto"/>
      <w:outlineLvl w:val="0"/>
    </w:pPr>
    <w:rPr>
      <w:rFonts w:ascii="Times New Roman" w:hAnsi="Times New Roman" w:eastAsia="Times New Roman" w:cs="Times New Roman"/>
      <w:b/>
      <w:color w:val="000000"/>
      <w:sz w:val="24"/>
    </w:rPr>
  </w:style>
  <w:style w:type="paragraph" w:styleId="755" w:customStyle="1">
    <w:name w:val="Heading 2"/>
    <w:next w:val="749"/>
    <w:link w:val="962"/>
    <w:uiPriority w:val="9"/>
    <w:unhideWhenUsed/>
    <w:qFormat/>
    <w:pPr>
      <w:ind w:left="3593"/>
      <w:keepLines/>
      <w:keepNext/>
      <w:spacing w:after="112"/>
      <w:outlineLvl w:val="1"/>
    </w:pPr>
    <w:rPr>
      <w:rFonts w:ascii="Times New Roman" w:hAnsi="Times New Roman" w:eastAsia="Times New Roman" w:cs="Times New Roman"/>
      <w:b/>
      <w:color w:val="000000"/>
      <w:sz w:val="16"/>
    </w:rPr>
  </w:style>
  <w:style w:type="paragraph" w:styleId="756" w:customStyle="1">
    <w:name w:val="Heading 3"/>
    <w:next w:val="749"/>
    <w:link w:val="961"/>
    <w:uiPriority w:val="9"/>
    <w:unhideWhenUsed/>
    <w:qFormat/>
    <w:pPr>
      <w:ind w:left="3742"/>
      <w:keepLines/>
      <w:keepNext/>
      <w:spacing w:after="0"/>
      <w:outlineLvl w:val="2"/>
    </w:pPr>
    <w:rPr>
      <w:rFonts w:ascii="Times New Roman" w:hAnsi="Times New Roman" w:eastAsia="Times New Roman" w:cs="Times New Roman"/>
      <w:b/>
      <w:color w:val="000000"/>
      <w:sz w:val="14"/>
    </w:rPr>
  </w:style>
  <w:style w:type="paragraph" w:styleId="757" w:customStyle="1">
    <w:name w:val="Heading 4"/>
    <w:basedOn w:val="749"/>
    <w:next w:val="749"/>
    <w:link w:val="7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8" w:customStyle="1">
    <w:name w:val="Heading 5"/>
    <w:basedOn w:val="749"/>
    <w:next w:val="749"/>
    <w:link w:val="7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59" w:customStyle="1">
    <w:name w:val="Heading 6"/>
    <w:basedOn w:val="749"/>
    <w:next w:val="749"/>
    <w:link w:val="8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paragraph" w:styleId="760" w:customStyle="1">
    <w:name w:val="Heading 7"/>
    <w:basedOn w:val="749"/>
    <w:next w:val="749"/>
    <w:link w:val="8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761" w:customStyle="1">
    <w:name w:val="Heading 8"/>
    <w:basedOn w:val="749"/>
    <w:next w:val="749"/>
    <w:link w:val="8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762" w:customStyle="1">
    <w:name w:val="Heading 9"/>
    <w:basedOn w:val="749"/>
    <w:next w:val="749"/>
    <w:link w:val="8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table" w:styleId="763" w:customStyle="1">
    <w:name w:val="Plain Table 1"/>
    <w:basedOn w:val="75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 w:customStyle="1">
    <w:name w:val="Plain Table 2"/>
    <w:basedOn w:val="7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Plain Table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 w:customStyle="1">
    <w:name w:val="Plain Table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Plain Table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1 Light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4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Grid Table 5 Dark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6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Grid Table 7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List Table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5 Dark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6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List Table 7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782" w:customStyle="1">
    <w:name w:val="Heading 4 Char"/>
    <w:basedOn w:val="751"/>
    <w:uiPriority w:val="9"/>
    <w:rPr>
      <w:rFonts w:ascii="Arial" w:hAnsi="Arial" w:eastAsia="Arial" w:cs="Arial"/>
      <w:b/>
      <w:bCs/>
      <w:sz w:val="26"/>
      <w:szCs w:val="26"/>
    </w:rPr>
  </w:style>
  <w:style w:type="character" w:styleId="783" w:customStyle="1">
    <w:name w:val="Heading 5 Char"/>
    <w:basedOn w:val="751"/>
    <w:uiPriority w:val="9"/>
    <w:rPr>
      <w:rFonts w:ascii="Arial" w:hAnsi="Arial" w:eastAsia="Arial" w:cs="Arial"/>
      <w:b/>
      <w:bCs/>
      <w:sz w:val="24"/>
      <w:szCs w:val="24"/>
    </w:rPr>
  </w:style>
  <w:style w:type="character" w:styleId="784" w:customStyle="1">
    <w:name w:val="Heading 6 Char"/>
    <w:basedOn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85" w:customStyle="1">
    <w:name w:val="Heading 7 Char"/>
    <w:basedOn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6" w:customStyle="1">
    <w:name w:val="Heading 8 Char"/>
    <w:basedOn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87" w:customStyle="1">
    <w:name w:val="Heading 9 Char"/>
    <w:basedOn w:val="751"/>
    <w:uiPriority w:val="9"/>
    <w:rPr>
      <w:rFonts w:ascii="Arial" w:hAnsi="Arial" w:eastAsia="Arial" w:cs="Arial"/>
      <w:i/>
      <w:iCs/>
      <w:sz w:val="21"/>
      <w:szCs w:val="21"/>
    </w:rPr>
  </w:style>
  <w:style w:type="character" w:styleId="788" w:customStyle="1">
    <w:name w:val="Title Char"/>
    <w:basedOn w:val="751"/>
    <w:uiPriority w:val="10"/>
    <w:rPr>
      <w:sz w:val="48"/>
      <w:szCs w:val="48"/>
    </w:rPr>
  </w:style>
  <w:style w:type="character" w:styleId="789" w:customStyle="1">
    <w:name w:val="Subtitle Char"/>
    <w:basedOn w:val="751"/>
    <w:uiPriority w:val="11"/>
    <w:rPr>
      <w:sz w:val="24"/>
      <w:szCs w:val="24"/>
    </w:rPr>
  </w:style>
  <w:style w:type="character" w:styleId="790" w:customStyle="1">
    <w:name w:val="Quote Char"/>
    <w:uiPriority w:val="29"/>
    <w:rPr>
      <w:i/>
    </w:rPr>
  </w:style>
  <w:style w:type="character" w:styleId="791" w:customStyle="1">
    <w:name w:val="Intense Quote Char"/>
    <w:uiPriority w:val="30"/>
    <w:rPr>
      <w:i/>
    </w:rPr>
  </w:style>
  <w:style w:type="character" w:styleId="792" w:customStyle="1">
    <w:name w:val="Caption Char"/>
    <w:uiPriority w:val="99"/>
  </w:style>
  <w:style w:type="character" w:styleId="793" w:customStyle="1">
    <w:name w:val="Footnote Text Char"/>
    <w:uiPriority w:val="99"/>
    <w:rPr>
      <w:sz w:val="18"/>
    </w:rPr>
  </w:style>
  <w:style w:type="character" w:styleId="794" w:customStyle="1">
    <w:name w:val="Endnote Text Char"/>
    <w:uiPriority w:val="99"/>
    <w:rPr>
      <w:sz w:val="20"/>
    </w:rPr>
  </w:style>
  <w:style w:type="character" w:styleId="795" w:customStyle="1">
    <w:name w:val="Heading 1 Char"/>
    <w:basedOn w:val="751"/>
    <w:uiPriority w:val="9"/>
    <w:rPr>
      <w:rFonts w:ascii="Arial" w:hAnsi="Arial" w:eastAsia="Arial" w:cs="Arial"/>
      <w:sz w:val="40"/>
      <w:szCs w:val="40"/>
    </w:rPr>
  </w:style>
  <w:style w:type="character" w:styleId="796" w:customStyle="1">
    <w:name w:val="Heading 2 Char"/>
    <w:basedOn w:val="751"/>
    <w:uiPriority w:val="9"/>
    <w:rPr>
      <w:rFonts w:ascii="Arial" w:hAnsi="Arial" w:eastAsia="Arial" w:cs="Arial"/>
      <w:sz w:val="34"/>
    </w:rPr>
  </w:style>
  <w:style w:type="character" w:styleId="797" w:customStyle="1">
    <w:name w:val="Heading 3 Char"/>
    <w:basedOn w:val="751"/>
    <w:uiPriority w:val="9"/>
    <w:rPr>
      <w:rFonts w:ascii="Arial" w:hAnsi="Arial" w:eastAsia="Arial" w:cs="Arial"/>
      <w:sz w:val="30"/>
      <w:szCs w:val="30"/>
    </w:rPr>
  </w:style>
  <w:style w:type="character" w:styleId="798" w:customStyle="1">
    <w:name w:val="Заголовок 4 Знак"/>
    <w:basedOn w:val="751"/>
    <w:link w:val="757"/>
    <w:uiPriority w:val="9"/>
    <w:rPr>
      <w:rFonts w:ascii="Arial" w:hAnsi="Arial" w:eastAsia="Arial" w:cs="Arial"/>
      <w:b/>
      <w:bCs/>
      <w:sz w:val="26"/>
      <w:szCs w:val="26"/>
    </w:rPr>
  </w:style>
  <w:style w:type="character" w:styleId="799" w:customStyle="1">
    <w:name w:val="Заголовок 5 Знак"/>
    <w:basedOn w:val="751"/>
    <w:link w:val="758"/>
    <w:uiPriority w:val="9"/>
    <w:rPr>
      <w:rFonts w:ascii="Arial" w:hAnsi="Arial" w:eastAsia="Arial" w:cs="Arial"/>
      <w:b/>
      <w:bCs/>
      <w:sz w:val="24"/>
      <w:szCs w:val="24"/>
    </w:rPr>
  </w:style>
  <w:style w:type="character" w:styleId="800" w:customStyle="1">
    <w:name w:val="Заголовок 6 Знак"/>
    <w:basedOn w:val="751"/>
    <w:link w:val="759"/>
    <w:uiPriority w:val="9"/>
    <w:rPr>
      <w:rFonts w:ascii="Arial" w:hAnsi="Arial" w:eastAsia="Arial" w:cs="Arial"/>
      <w:b/>
      <w:bCs/>
      <w:sz w:val="22"/>
      <w:szCs w:val="22"/>
    </w:rPr>
  </w:style>
  <w:style w:type="character" w:styleId="801" w:customStyle="1">
    <w:name w:val="Заголовок 7 Знак"/>
    <w:basedOn w:val="751"/>
    <w:link w:val="7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2" w:customStyle="1">
    <w:name w:val="Заголовок 8 Знак"/>
    <w:basedOn w:val="751"/>
    <w:link w:val="761"/>
    <w:uiPriority w:val="9"/>
    <w:rPr>
      <w:rFonts w:ascii="Arial" w:hAnsi="Arial" w:eastAsia="Arial" w:cs="Arial"/>
      <w:i/>
      <w:iCs/>
      <w:sz w:val="22"/>
      <w:szCs w:val="22"/>
    </w:rPr>
  </w:style>
  <w:style w:type="character" w:styleId="803" w:customStyle="1">
    <w:name w:val="Заголовок 9 Знак"/>
    <w:basedOn w:val="751"/>
    <w:link w:val="762"/>
    <w:uiPriority w:val="9"/>
    <w:rPr>
      <w:rFonts w:ascii="Arial" w:hAnsi="Arial" w:eastAsia="Arial" w:cs="Arial"/>
      <w:i/>
      <w:iCs/>
      <w:sz w:val="21"/>
      <w:szCs w:val="21"/>
    </w:rPr>
  </w:style>
  <w:style w:type="paragraph" w:styleId="804">
    <w:name w:val="No Spacing"/>
    <w:uiPriority w:val="1"/>
    <w:qFormat/>
    <w:pPr>
      <w:spacing w:after="0" w:line="240" w:lineRule="auto"/>
    </w:pPr>
  </w:style>
  <w:style w:type="paragraph" w:styleId="805">
    <w:name w:val="Title"/>
    <w:basedOn w:val="749"/>
    <w:next w:val="749"/>
    <w:link w:val="8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6" w:customStyle="1">
    <w:name w:val="Название Знак"/>
    <w:basedOn w:val="751"/>
    <w:link w:val="805"/>
    <w:uiPriority w:val="10"/>
    <w:rPr>
      <w:sz w:val="48"/>
      <w:szCs w:val="48"/>
    </w:rPr>
  </w:style>
  <w:style w:type="paragraph" w:styleId="807">
    <w:name w:val="Subtitle"/>
    <w:basedOn w:val="749"/>
    <w:next w:val="749"/>
    <w:link w:val="808"/>
    <w:uiPriority w:val="11"/>
    <w:qFormat/>
    <w:pPr>
      <w:spacing w:before="200" w:after="200"/>
    </w:pPr>
    <w:rPr>
      <w:szCs w:val="24"/>
    </w:rPr>
  </w:style>
  <w:style w:type="character" w:styleId="808" w:customStyle="1">
    <w:name w:val="Подзаголовок Знак"/>
    <w:basedOn w:val="751"/>
    <w:link w:val="807"/>
    <w:uiPriority w:val="11"/>
    <w:rPr>
      <w:sz w:val="24"/>
      <w:szCs w:val="24"/>
    </w:rPr>
  </w:style>
  <w:style w:type="paragraph" w:styleId="809">
    <w:name w:val="Quote"/>
    <w:basedOn w:val="749"/>
    <w:next w:val="749"/>
    <w:link w:val="810"/>
    <w:uiPriority w:val="29"/>
    <w:qFormat/>
    <w:pPr>
      <w:ind w:left="720" w:right="720"/>
    </w:pPr>
    <w:rPr>
      <w:i/>
    </w:rPr>
  </w:style>
  <w:style w:type="character" w:styleId="810" w:customStyle="1">
    <w:name w:val="Цитата 2 Знак"/>
    <w:link w:val="809"/>
    <w:uiPriority w:val="29"/>
    <w:rPr>
      <w:i/>
    </w:rPr>
  </w:style>
  <w:style w:type="paragraph" w:styleId="811">
    <w:name w:val="Intense Quote"/>
    <w:basedOn w:val="749"/>
    <w:next w:val="749"/>
    <w:link w:val="81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2" w:customStyle="1">
    <w:name w:val="Выделенная цитата Знак"/>
    <w:link w:val="811"/>
    <w:uiPriority w:val="30"/>
    <w:rPr>
      <w:i/>
    </w:rPr>
  </w:style>
  <w:style w:type="character" w:styleId="813" w:customStyle="1">
    <w:name w:val="Header Char"/>
    <w:basedOn w:val="751"/>
    <w:uiPriority w:val="99"/>
  </w:style>
  <w:style w:type="paragraph" w:styleId="814" w:customStyle="1">
    <w:name w:val="Footer"/>
    <w:basedOn w:val="749"/>
    <w:link w:val="8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5" w:customStyle="1">
    <w:name w:val="Footer Char"/>
    <w:basedOn w:val="751"/>
    <w:uiPriority w:val="99"/>
  </w:style>
  <w:style w:type="paragraph" w:styleId="816" w:customStyle="1">
    <w:name w:val="Caption"/>
    <w:basedOn w:val="749"/>
    <w:next w:val="74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17" w:customStyle="1">
    <w:name w:val="Нижний колонтитул Знак"/>
    <w:link w:val="814"/>
    <w:uiPriority w:val="99"/>
  </w:style>
  <w:style w:type="table" w:styleId="818" w:customStyle="1">
    <w:name w:val="Table Grid Light"/>
    <w:basedOn w:val="75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 w:customStyle="1">
    <w:name w:val="Таблица простая 11"/>
    <w:basedOn w:val="75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 w:customStyle="1">
    <w:name w:val="Таблица простая 21"/>
    <w:basedOn w:val="7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 w:customStyle="1">
    <w:name w:val="Таблица простая 3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 w:customStyle="1">
    <w:name w:val="Таблица простая 4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Таблица простая 5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 w:customStyle="1">
    <w:name w:val="Таблица-сетка 1 светлая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Таблица-сетка 2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Таблица-сетка 3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Таблица-сетка 41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 w:customStyle="1">
    <w:name w:val="Grid Table 4 - Accent 1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47" w:customStyle="1">
    <w:name w:val="Grid Table 4 - Accent 2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8" w:customStyle="1">
    <w:name w:val="Grid Table 4 - Accent 3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9" w:customStyle="1">
    <w:name w:val="Grid Table 4 - Accent 4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50" w:customStyle="1">
    <w:name w:val="Grid Table 4 - Accent 5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51" w:customStyle="1">
    <w:name w:val="Grid Table 4 - Accent 6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2" w:customStyle="1">
    <w:name w:val="Таблица-сетка 5 темная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9" w:customStyle="1">
    <w:name w:val="Таблица-сетка 6 цветная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0" w:customStyle="1">
    <w:name w:val="Grid Table 6 Colorful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61" w:customStyle="1">
    <w:name w:val="Grid Table 6 Colorful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2" w:customStyle="1">
    <w:name w:val="Grid Table 6 Colorful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3" w:customStyle="1">
    <w:name w:val="Grid Table 6 Colorful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4" w:customStyle="1">
    <w:name w:val="Grid Table 6 Colorful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5" w:customStyle="1">
    <w:name w:val="Grid Table 6 Colorful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6" w:customStyle="1">
    <w:name w:val="Таблица-сетка 7 цветная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67" w:customStyle="1">
    <w:name w:val="Grid Table 7 Colorful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68" w:customStyle="1">
    <w:name w:val="Grid Table 7 Colorful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69" w:customStyle="1">
    <w:name w:val="Grid Table 7 Colorful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0" w:customStyle="1">
    <w:name w:val="Grid Table 7 Colorful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1" w:customStyle="1">
    <w:name w:val="Grid Table 7 Colorful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2" w:customStyle="1">
    <w:name w:val="Grid Table 7 Colorful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3" w:customStyle="1">
    <w:name w:val="Список-таблица 1 светлая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Список-таблица 2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7" w:customStyle="1">
    <w:name w:val="Список-таблица 3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Список-таблица 4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Список-таблица 5 темная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Список-таблица 6 цветная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9" w:customStyle="1">
    <w:name w:val="List Table 6 Colorful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10" w:customStyle="1">
    <w:name w:val="List Table 6 Colorful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11" w:customStyle="1">
    <w:name w:val="List Table 6 Colorful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12" w:customStyle="1">
    <w:name w:val="List Table 6 Colorful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13" w:customStyle="1">
    <w:name w:val="List Table 6 Colorful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14" w:customStyle="1">
    <w:name w:val="List Table 6 Colorful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5" w:customStyle="1">
    <w:name w:val="Список-таблица 7 цветная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16" w:customStyle="1">
    <w:name w:val="List Table 7 Colorful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17" w:customStyle="1">
    <w:name w:val="List Table 7 Colorful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18" w:customStyle="1">
    <w:name w:val="List Table 7 Colorful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19" w:customStyle="1">
    <w:name w:val="List Table 7 Colorful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0" w:customStyle="1">
    <w:name w:val="List Table 7 Colorful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1" w:customStyle="1">
    <w:name w:val="List Table 7 Colorful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2" w:customStyle="1">
    <w:name w:val="Lined - Accent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Lined - Accent 1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4" w:customStyle="1">
    <w:name w:val="Lined - Accent 2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5" w:customStyle="1">
    <w:name w:val="Lined - Accent 3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6" w:customStyle="1">
    <w:name w:val="Lined - Accent 4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7" w:customStyle="1">
    <w:name w:val="Lined - Accent 5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8" w:customStyle="1">
    <w:name w:val="Lined - Accent 6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9" w:customStyle="1">
    <w:name w:val="Bordered &amp; Lined - Accent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0" w:customStyle="1">
    <w:name w:val="Bordered &amp; Lined - Accent 1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31" w:customStyle="1">
    <w:name w:val="Bordered &amp; Lined - Accent 2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2" w:customStyle="1">
    <w:name w:val="Bordered &amp; Lined - Accent 3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3" w:customStyle="1">
    <w:name w:val="Bordered &amp; Lined - Accent 4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4" w:customStyle="1">
    <w:name w:val="Bordered &amp; Lined - Accent 5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35" w:customStyle="1">
    <w:name w:val="Bordered &amp; Lined - Accent 6"/>
    <w:basedOn w:val="75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6" w:customStyle="1">
    <w:name w:val="Bordered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7" w:customStyle="1">
    <w:name w:val="Bordered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38" w:customStyle="1">
    <w:name w:val="Bordered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9" w:customStyle="1">
    <w:name w:val="Bordered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40" w:customStyle="1">
    <w:name w:val="Bordered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41" w:customStyle="1">
    <w:name w:val="Bordered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42" w:customStyle="1">
    <w:name w:val="Bordered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43">
    <w:name w:val="Hyperlink"/>
    <w:uiPriority w:val="99"/>
    <w:unhideWhenUsed/>
    <w:rPr>
      <w:color w:val="0563c1" w:themeColor="hyperlink"/>
      <w:u w:val="single"/>
    </w:rPr>
  </w:style>
  <w:style w:type="paragraph" w:styleId="944">
    <w:name w:val="footnote text"/>
    <w:basedOn w:val="749"/>
    <w:link w:val="945"/>
    <w:uiPriority w:val="99"/>
    <w:semiHidden/>
    <w:unhideWhenUsed/>
    <w:pPr>
      <w:spacing w:after="40" w:line="240" w:lineRule="auto"/>
    </w:pPr>
    <w:rPr>
      <w:sz w:val="18"/>
    </w:rPr>
  </w:style>
  <w:style w:type="character" w:styleId="945" w:customStyle="1">
    <w:name w:val="Текст сноски Знак"/>
    <w:link w:val="944"/>
    <w:uiPriority w:val="99"/>
    <w:rPr>
      <w:sz w:val="18"/>
    </w:rPr>
  </w:style>
  <w:style w:type="character" w:styleId="946">
    <w:name w:val="footnote reference"/>
    <w:basedOn w:val="751"/>
    <w:uiPriority w:val="99"/>
    <w:unhideWhenUsed/>
    <w:rPr>
      <w:vertAlign w:val="superscript"/>
    </w:rPr>
  </w:style>
  <w:style w:type="paragraph" w:styleId="947">
    <w:name w:val="endnote text"/>
    <w:basedOn w:val="749"/>
    <w:link w:val="948"/>
    <w:uiPriority w:val="99"/>
    <w:semiHidden/>
    <w:unhideWhenUsed/>
    <w:pPr>
      <w:spacing w:after="0" w:line="240" w:lineRule="auto"/>
    </w:pPr>
    <w:rPr>
      <w:sz w:val="20"/>
    </w:rPr>
  </w:style>
  <w:style w:type="character" w:styleId="948" w:customStyle="1">
    <w:name w:val="Текст концевой сноски Знак"/>
    <w:link w:val="947"/>
    <w:uiPriority w:val="99"/>
    <w:rPr>
      <w:sz w:val="20"/>
    </w:rPr>
  </w:style>
  <w:style w:type="character" w:styleId="949">
    <w:name w:val="endnote reference"/>
    <w:basedOn w:val="751"/>
    <w:uiPriority w:val="99"/>
    <w:semiHidden/>
    <w:unhideWhenUsed/>
    <w:rPr>
      <w:vertAlign w:val="superscript"/>
    </w:rPr>
  </w:style>
  <w:style w:type="paragraph" w:styleId="950">
    <w:name w:val="toc 1"/>
    <w:basedOn w:val="749"/>
    <w:next w:val="749"/>
    <w:uiPriority w:val="39"/>
    <w:unhideWhenUsed/>
    <w:pPr>
      <w:ind w:left="0" w:firstLine="0"/>
      <w:spacing w:after="57"/>
    </w:pPr>
  </w:style>
  <w:style w:type="paragraph" w:styleId="951">
    <w:name w:val="toc 2"/>
    <w:basedOn w:val="749"/>
    <w:next w:val="749"/>
    <w:uiPriority w:val="39"/>
    <w:unhideWhenUsed/>
    <w:pPr>
      <w:ind w:left="283" w:firstLine="0"/>
      <w:spacing w:after="57"/>
    </w:pPr>
  </w:style>
  <w:style w:type="paragraph" w:styleId="952">
    <w:name w:val="toc 3"/>
    <w:basedOn w:val="749"/>
    <w:next w:val="749"/>
    <w:uiPriority w:val="39"/>
    <w:unhideWhenUsed/>
    <w:pPr>
      <w:ind w:left="567" w:firstLine="0"/>
      <w:spacing w:after="57"/>
    </w:pPr>
  </w:style>
  <w:style w:type="paragraph" w:styleId="953">
    <w:name w:val="toc 4"/>
    <w:basedOn w:val="749"/>
    <w:next w:val="749"/>
    <w:uiPriority w:val="39"/>
    <w:unhideWhenUsed/>
    <w:pPr>
      <w:ind w:left="850" w:firstLine="0"/>
      <w:spacing w:after="57"/>
    </w:pPr>
  </w:style>
  <w:style w:type="paragraph" w:styleId="954">
    <w:name w:val="toc 5"/>
    <w:basedOn w:val="749"/>
    <w:next w:val="749"/>
    <w:uiPriority w:val="39"/>
    <w:unhideWhenUsed/>
    <w:pPr>
      <w:ind w:left="1134" w:firstLine="0"/>
      <w:spacing w:after="57"/>
    </w:pPr>
  </w:style>
  <w:style w:type="paragraph" w:styleId="955">
    <w:name w:val="toc 6"/>
    <w:basedOn w:val="749"/>
    <w:next w:val="749"/>
    <w:uiPriority w:val="39"/>
    <w:unhideWhenUsed/>
    <w:pPr>
      <w:ind w:left="1417" w:firstLine="0"/>
      <w:spacing w:after="57"/>
    </w:pPr>
  </w:style>
  <w:style w:type="paragraph" w:styleId="956">
    <w:name w:val="toc 7"/>
    <w:basedOn w:val="749"/>
    <w:next w:val="749"/>
    <w:uiPriority w:val="39"/>
    <w:unhideWhenUsed/>
    <w:pPr>
      <w:ind w:left="1701" w:firstLine="0"/>
      <w:spacing w:after="57"/>
    </w:pPr>
  </w:style>
  <w:style w:type="paragraph" w:styleId="957">
    <w:name w:val="toc 8"/>
    <w:basedOn w:val="749"/>
    <w:next w:val="749"/>
    <w:uiPriority w:val="39"/>
    <w:unhideWhenUsed/>
    <w:pPr>
      <w:ind w:left="1984" w:firstLine="0"/>
      <w:spacing w:after="57"/>
    </w:pPr>
  </w:style>
  <w:style w:type="paragraph" w:styleId="958">
    <w:name w:val="toc 9"/>
    <w:basedOn w:val="749"/>
    <w:next w:val="749"/>
    <w:uiPriority w:val="39"/>
    <w:unhideWhenUsed/>
    <w:pPr>
      <w:ind w:left="2268" w:firstLine="0"/>
      <w:spacing w:after="57"/>
    </w:pPr>
  </w:style>
  <w:style w:type="paragraph" w:styleId="959">
    <w:name w:val="TOC Heading"/>
    <w:uiPriority w:val="39"/>
    <w:unhideWhenUsed/>
  </w:style>
  <w:style w:type="paragraph" w:styleId="960">
    <w:name w:val="table of figures"/>
    <w:basedOn w:val="749"/>
    <w:next w:val="749"/>
    <w:uiPriority w:val="99"/>
    <w:unhideWhenUsed/>
    <w:pPr>
      <w:spacing w:after="0"/>
    </w:pPr>
  </w:style>
  <w:style w:type="character" w:styleId="961" w:customStyle="1">
    <w:name w:val="Заголовок 3 Знак"/>
    <w:link w:val="756"/>
    <w:rPr>
      <w:rFonts w:ascii="Times New Roman" w:hAnsi="Times New Roman" w:eastAsia="Times New Roman" w:cs="Times New Roman"/>
      <w:b/>
      <w:color w:val="000000"/>
      <w:sz w:val="14"/>
    </w:rPr>
  </w:style>
  <w:style w:type="character" w:styleId="962" w:customStyle="1">
    <w:name w:val="Заголовок 2 Знак"/>
    <w:link w:val="755"/>
    <w:rPr>
      <w:rFonts w:ascii="Times New Roman" w:hAnsi="Times New Roman" w:eastAsia="Times New Roman" w:cs="Times New Roman"/>
      <w:b/>
      <w:color w:val="000000"/>
      <w:sz w:val="16"/>
    </w:rPr>
  </w:style>
  <w:style w:type="character" w:styleId="963" w:customStyle="1">
    <w:name w:val="Заголовок 1 Знак"/>
    <w:link w:val="754"/>
    <w:uiPriority w:val="9"/>
    <w:rPr>
      <w:rFonts w:ascii="Times New Roman" w:hAnsi="Times New Roman" w:eastAsia="Times New Roman" w:cs="Times New Roman"/>
      <w:b/>
      <w:color w:val="000000"/>
      <w:sz w:val="24"/>
    </w:rPr>
  </w:style>
  <w:style w:type="table" w:styleId="964" w:customStyle="1">
    <w:name w:val="Сетка таблицы1"/>
    <w:pPr>
      <w:spacing w:after="0" w:line="240" w:lineRule="auto"/>
    </w:p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65">
    <w:name w:val="Table Grid"/>
    <w:basedOn w:val="752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6">
    <w:name w:val="List Paragraph"/>
    <w:basedOn w:val="749"/>
    <w:uiPriority w:val="34"/>
    <w:qFormat/>
    <w:pPr>
      <w:contextualSpacing/>
      <w:ind w:left="720"/>
    </w:pPr>
  </w:style>
  <w:style w:type="character" w:styleId="967" w:customStyle="1">
    <w:name w:val="fontstyle01"/>
    <w:basedOn w:val="751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styleId="968">
    <w:name w:val="Balloon Text"/>
    <w:basedOn w:val="749"/>
    <w:link w:val="96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69" w:customStyle="1">
    <w:name w:val="Текст выноски Знак"/>
    <w:basedOn w:val="751"/>
    <w:link w:val="968"/>
    <w:uiPriority w:val="99"/>
    <w:semiHidden/>
    <w:rPr>
      <w:rFonts w:ascii="Segoe UI" w:hAnsi="Segoe UI" w:eastAsia="Times New Roman" w:cs="Segoe UI"/>
      <w:color w:val="000000"/>
      <w:sz w:val="18"/>
      <w:szCs w:val="18"/>
    </w:rPr>
  </w:style>
  <w:style w:type="table" w:styleId="970" w:customStyle="1">
    <w:name w:val="TableGrid1"/>
    <w:pPr>
      <w:spacing w:after="0" w:line="240" w:lineRule="auto"/>
    </w:p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TableGrid2"/>
    <w:pPr>
      <w:spacing w:after="0" w:line="240" w:lineRule="auto"/>
    </w:p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72" w:customStyle="1">
    <w:name w:val="Абзац списка1"/>
    <w:basedOn w:val="749"/>
    <w:pPr>
      <w:ind w:left="720" w:firstLine="0"/>
      <w:jc w:val="left"/>
      <w:spacing w:after="0" w:line="240" w:lineRule="auto"/>
    </w:pPr>
    <w:rPr>
      <w:color w:val="auto"/>
      <w:szCs w:val="24"/>
      <w:lang w:eastAsia="ar-SA"/>
    </w:rPr>
  </w:style>
  <w:style w:type="paragraph" w:styleId="973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ar-SA"/>
    </w:rPr>
  </w:style>
  <w:style w:type="paragraph" w:styleId="974" w:customStyle="1">
    <w:name w:val="Абзац списка2"/>
    <w:basedOn w:val="749"/>
    <w:pPr>
      <w:ind w:left="720" w:firstLine="0"/>
      <w:jc w:val="left"/>
      <w:spacing w:after="0" w:line="240" w:lineRule="auto"/>
    </w:pPr>
    <w:rPr>
      <w:color w:val="auto"/>
      <w:szCs w:val="24"/>
      <w:lang w:eastAsia="ar-SA"/>
    </w:rPr>
  </w:style>
  <w:style w:type="paragraph" w:styleId="975" w:customStyle="1">
    <w:name w:val="Header"/>
    <w:basedOn w:val="749"/>
    <w:link w:val="97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76" w:customStyle="1">
    <w:name w:val="Верхний колонтитул Знак"/>
    <w:basedOn w:val="751"/>
    <w:link w:val="975"/>
    <w:uiPriority w:val="99"/>
    <w:rPr>
      <w:rFonts w:ascii="Times New Roman" w:hAnsi="Times New Roman" w:eastAsia="Times New Roman" w:cs="Times New Roman"/>
      <w:color w:val="000000"/>
      <w:sz w:val="24"/>
    </w:rPr>
  </w:style>
  <w:style w:type="paragraph" w:styleId="977" w:customStyle="1">
    <w:name w:val="ConsPlusNormal"/>
    <w:pPr>
      <w:ind w:firstLine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Arial"/>
      <w:sz w:val="16"/>
      <w:szCs w:val="16"/>
      <w:lang w:eastAsia="ar-SA"/>
    </w:rPr>
  </w:style>
  <w:style w:type="character" w:styleId="978" w:customStyle="1">
    <w:name w:val="Гипертекстовая ссылка"/>
    <w:basedOn w:val="751"/>
    <w:uiPriority w:val="99"/>
    <w:rPr>
      <w:color w:val="106bbe"/>
    </w:rPr>
  </w:style>
  <w:style w:type="character" w:styleId="979" w:customStyle="1">
    <w:name w:val="Заголовок 1 Знак1"/>
    <w:basedOn w:val="751"/>
    <w:link w:val="750"/>
    <w:uiPriority w:val="9"/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footer" Target="footer4.xml" /><Relationship Id="rId15" Type="http://schemas.openxmlformats.org/officeDocument/2006/relationships/footer" Target="footer5.xml" /><Relationship Id="rId16" Type="http://schemas.openxmlformats.org/officeDocument/2006/relationships/footer" Target="footer6.xml" /><Relationship Id="rId17" Type="http://schemas.openxmlformats.org/officeDocument/2006/relationships/customXml" Target="../customXml/item1.xml" /><Relationship Id="rId18" Type="http://schemas.openxmlformats.org/officeDocument/2006/relationships/hyperlink" Target="http://novo-sibirsk.ru/upload/industry/2007-resh-707(31-03-2015-resh-1335).pdf" TargetMode="External"/><Relationship Id="rId19" Type="http://schemas.openxmlformats.org/officeDocument/2006/relationships/hyperlink" Target="http://www.consultant.ru/document/cons_doc_LAW_51037/6302a2a94dc7870a5f65631b4f4ecdb75910f4b8/" TargetMode="External"/><Relationship Id="rId20" Type="http://schemas.openxmlformats.org/officeDocument/2006/relationships/hyperlink" Target="http://www.consultant.ru/document/cons_doc_LAW_51037/6302a2a94dc7870a5f65631b4f4ecdb75910f4b8/" TargetMode="External"/><Relationship Id="rId21" Type="http://schemas.openxmlformats.org/officeDocument/2006/relationships/hyperlink" Target="consultantplus://offline/main?base=LAW;n=109002;fld=134;dst=100149" TargetMode="External"/><Relationship Id="rId22" Type="http://schemas.openxmlformats.org/officeDocument/2006/relationships/hyperlink" Target="consultantplus://offline/ref=5C5690BFE28E4BBB4867DFB77C80C974757E671DF000E3F2DA35A67404OBGA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25697-B910-45A4-A813-EFA4FF3AC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29</cp:revision>
  <dcterms:created xsi:type="dcterms:W3CDTF">2023-01-25T08:55:00Z</dcterms:created>
  <dcterms:modified xsi:type="dcterms:W3CDTF">2023-11-30T11:36:38Z</dcterms:modified>
</cp:coreProperties>
</file>